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4ED24">
      <w:pPr>
        <w:spacing w:line="640" w:lineRule="exact"/>
        <w:jc w:val="center"/>
        <w:rPr>
          <w:rFonts w:ascii="方正小标宋简体" w:hAnsi="微软雅黑" w:eastAsia="方正小标宋简体"/>
          <w:sz w:val="36"/>
          <w:szCs w:val="36"/>
          <w:u w:val="single"/>
        </w:rPr>
      </w:pPr>
    </w:p>
    <w:p w14:paraId="4B2E2837">
      <w:pPr>
        <w:spacing w:line="640" w:lineRule="exact"/>
        <w:jc w:val="center"/>
        <w:rPr>
          <w:rFonts w:ascii="方正小标宋简体" w:hAnsi="微软雅黑" w:eastAsia="方正小标宋简体"/>
          <w:sz w:val="36"/>
          <w:szCs w:val="36"/>
          <w:u w:val="single"/>
        </w:rPr>
      </w:pPr>
    </w:p>
    <w:p w14:paraId="5F1AF855">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14:paraId="453CCB8D">
      <w:pPr>
        <w:spacing w:line="640" w:lineRule="exact"/>
        <w:rPr>
          <w:rFonts w:ascii="宋体" w:hAnsi="宋体" w:eastAsia="宋体"/>
          <w:sz w:val="32"/>
          <w:szCs w:val="32"/>
        </w:rPr>
      </w:pPr>
    </w:p>
    <w:p w14:paraId="6196B5EF">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 xml:space="preserve">竞 </w:t>
      </w:r>
    </w:p>
    <w:p w14:paraId="4509745B">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14:paraId="2D633E2E">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14:paraId="76385C04">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14:paraId="7E30CDBC">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14:paraId="5037391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14:paraId="4A9B193A">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14:paraId="3A0A728E">
      <w:pPr>
        <w:jc w:val="center"/>
        <w:rPr>
          <w:rFonts w:ascii="方正小标宋简体" w:hAnsi="微软雅黑" w:eastAsia="方正小标宋简体"/>
          <w:sz w:val="36"/>
          <w:szCs w:val="36"/>
        </w:rPr>
      </w:pPr>
    </w:p>
    <w:p w14:paraId="399F1144">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14:paraId="6D138242">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w:t>
      </w:r>
      <w:r>
        <w:rPr>
          <w:rFonts w:hint="eastAsia" w:ascii="宋体" w:hAnsi="宋体" w:eastAsia="宋体" w:cs="Times New Roman"/>
          <w:bCs/>
          <w:sz w:val="32"/>
          <w:szCs w:val="32"/>
        </w:rPr>
        <w:t>4</w:t>
      </w:r>
      <w:r>
        <w:rPr>
          <w:rFonts w:hint="eastAsia" w:ascii="宋体" w:hAnsi="宋体" w:eastAsia="宋体" w:cs="宋体"/>
          <w:bCs/>
          <w:sz w:val="32"/>
          <w:szCs w:val="32"/>
          <w:lang w:val="zh-CN"/>
        </w:rPr>
        <w:t>年</w:t>
      </w:r>
      <w:r>
        <w:rPr>
          <w:rFonts w:hint="eastAsia" w:ascii="宋体" w:hAnsi="宋体" w:eastAsia="宋体" w:cs="宋体"/>
          <w:bCs/>
          <w:sz w:val="32"/>
          <w:szCs w:val="32"/>
          <w:lang w:val="en-US" w:eastAsia="zh-CN"/>
        </w:rPr>
        <w:t>10</w:t>
      </w:r>
      <w:r>
        <w:rPr>
          <w:rFonts w:hint="eastAsia" w:ascii="宋体" w:hAnsi="宋体" w:eastAsia="宋体" w:cs="宋体"/>
          <w:bCs/>
          <w:sz w:val="32"/>
          <w:szCs w:val="32"/>
          <w:lang w:val="zh-CN"/>
        </w:rPr>
        <w:t>月</w:t>
      </w:r>
      <w:bookmarkStart w:id="0" w:name="_Hlt101843627"/>
      <w:bookmarkEnd w:id="0"/>
      <w:bookmarkStart w:id="1" w:name="_Hlt101233737"/>
      <w:bookmarkEnd w:id="1"/>
    </w:p>
    <w:p w14:paraId="177001FD">
      <w:pPr>
        <w:pStyle w:val="29"/>
        <w:rPr>
          <w:lang w:val="zh-CN"/>
        </w:rPr>
      </w:pPr>
      <w:r>
        <w:rPr>
          <w:lang w:val="zh-CN"/>
        </w:rPr>
        <w:br w:type="page"/>
      </w:r>
    </w:p>
    <w:p w14:paraId="588C5E16">
      <w:pPr>
        <w:pStyle w:val="2"/>
        <w:spacing w:line="360" w:lineRule="auto"/>
        <w:jc w:val="center"/>
        <w:rPr>
          <w:rFonts w:ascii="宋体" w:hAnsi="宋体" w:eastAsia="宋体"/>
        </w:rPr>
      </w:pPr>
      <w:r>
        <w:rPr>
          <w:rFonts w:hint="eastAsia" w:ascii="宋体" w:hAnsi="宋体" w:eastAsia="宋体"/>
          <w:bCs w:val="0"/>
          <w:sz w:val="36"/>
        </w:rPr>
        <w:t>第一章 比选邀请</w:t>
      </w:r>
    </w:p>
    <w:p w14:paraId="7E9CCAB7">
      <w:pPr>
        <w:spacing w:line="500" w:lineRule="exact"/>
        <w:ind w:firstLine="480"/>
        <w:rPr>
          <w:rFonts w:ascii="宋体" w:hAnsi="宋体" w:eastAsia="宋体" w:cs="Times New Roman"/>
          <w:b/>
          <w:bCs/>
          <w:sz w:val="24"/>
          <w:szCs w:val="24"/>
        </w:rPr>
      </w:pPr>
      <w:r>
        <w:rPr>
          <w:rFonts w:hint="eastAsia" w:ascii="宋体" w:hAnsi="宋体" w:eastAsia="宋体" w:cs="Times New Roman"/>
          <w:sz w:val="24"/>
          <w:szCs w:val="24"/>
        </w:rPr>
        <w:t>四川铁道职业学院拟对内江校区2024年职工体检服务项目</w:t>
      </w:r>
      <w:r>
        <w:rPr>
          <w:rFonts w:hint="eastAsia" w:ascii="宋体" w:hAnsi="宋体" w:eastAsia="宋体" w:cs="Times New Roman"/>
          <w:sz w:val="24"/>
          <w:szCs w:val="24"/>
          <w:lang w:eastAsia="zh-CN"/>
        </w:rPr>
        <w:t>第</w:t>
      </w:r>
      <w:r>
        <w:rPr>
          <w:rFonts w:hint="eastAsia" w:ascii="宋体" w:hAnsi="宋体" w:eastAsia="宋体" w:cs="Times New Roman"/>
          <w:sz w:val="24"/>
          <w:szCs w:val="24"/>
          <w:lang w:val="en-US" w:eastAsia="zh-CN"/>
        </w:rPr>
        <w:t>2次</w:t>
      </w:r>
      <w:r>
        <w:rPr>
          <w:rFonts w:hint="eastAsia" w:ascii="宋体" w:hAnsi="宋体" w:eastAsia="宋体" w:cs="Times New Roman"/>
          <w:sz w:val="24"/>
          <w:szCs w:val="24"/>
        </w:rPr>
        <w:t>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14:paraId="7CCEB13C">
      <w:pPr>
        <w:numPr>
          <w:ilvl w:val="0"/>
          <w:numId w:val="2"/>
        </w:num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项目名称：内江校区2024年职工体检服务</w:t>
      </w:r>
      <w:r>
        <w:rPr>
          <w:rFonts w:hint="eastAsia" w:ascii="宋体" w:hAnsi="宋体" w:eastAsia="宋体" w:cs="Times New Roman"/>
          <w:sz w:val="24"/>
          <w:szCs w:val="24"/>
          <w:lang w:eastAsia="zh-CN"/>
        </w:rPr>
        <w:t>项目第</w:t>
      </w:r>
      <w:r>
        <w:rPr>
          <w:rFonts w:hint="eastAsia" w:ascii="宋体" w:hAnsi="宋体" w:eastAsia="宋体" w:cs="Times New Roman"/>
          <w:sz w:val="24"/>
          <w:szCs w:val="24"/>
          <w:lang w:val="en-US" w:eastAsia="zh-CN"/>
        </w:rPr>
        <w:t>2次</w:t>
      </w:r>
    </w:p>
    <w:p w14:paraId="3AE897EC">
      <w:pPr>
        <w:spacing w:line="500" w:lineRule="exact"/>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二、项目编号：CTZY-CG-20240</w:t>
      </w:r>
      <w:r>
        <w:rPr>
          <w:rFonts w:hint="eastAsia" w:ascii="宋体" w:hAnsi="宋体" w:eastAsia="宋体" w:cs="Times New Roman"/>
          <w:sz w:val="24"/>
          <w:szCs w:val="24"/>
          <w:lang w:val="en-US" w:eastAsia="zh-CN"/>
        </w:rPr>
        <w:t>40-1</w:t>
      </w:r>
    </w:p>
    <w:p w14:paraId="4AF65497">
      <w:pPr>
        <w:spacing w:line="500" w:lineRule="exact"/>
        <w:ind w:firstLine="480"/>
        <w:rPr>
          <w:rFonts w:ascii="宋体" w:hAnsi="宋体" w:eastAsia="宋体" w:cs="Times New Roman"/>
          <w:sz w:val="24"/>
          <w:szCs w:val="24"/>
        </w:rPr>
      </w:pPr>
      <w:r>
        <w:rPr>
          <w:rFonts w:hint="eastAsia" w:ascii="宋体" w:hAnsi="宋体" w:eastAsia="宋体" w:cs="Times New Roman"/>
          <w:sz w:val="24"/>
          <w:szCs w:val="24"/>
        </w:rPr>
        <w:t>三、项目简介</w:t>
      </w:r>
    </w:p>
    <w:p w14:paraId="3AA158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14:paraId="504BA2B4">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14:paraId="77B687DD">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14:paraId="74127E86">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14:paraId="401D7A67">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14:paraId="69AD929A">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14:paraId="2EDF0DB5">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14:paraId="5D0418E9">
      <w:pPr>
        <w:spacing w:line="360" w:lineRule="auto"/>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(六)法律、行政法规规定的其他条件。</w:t>
      </w:r>
    </w:p>
    <w:p w14:paraId="772D8EFE">
      <w:pPr>
        <w:spacing w:line="360" w:lineRule="auto"/>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rPr>
        <w:t>(七)本项目不接受联合体参与招标。</w:t>
      </w:r>
    </w:p>
    <w:p w14:paraId="21511CBC">
      <w:pPr>
        <w:spacing w:line="360" w:lineRule="auto"/>
        <w:ind w:firstLine="480" w:firstLineChars="200"/>
        <w:jc w:val="left"/>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sz w:val="24"/>
          <w:szCs w:val="24"/>
          <w:lang w:eastAsia="zh-CN"/>
        </w:rPr>
        <w:t>（八）</w:t>
      </w:r>
      <w:r>
        <w:rPr>
          <w:rFonts w:hint="eastAsia" w:ascii="宋体" w:hAnsi="宋体" w:eastAsia="宋体" w:cs="Times New Roman"/>
          <w:color w:val="000000" w:themeColor="text1"/>
          <w:sz w:val="24"/>
          <w:szCs w:val="24"/>
          <w14:textFill>
            <w14:solidFill>
              <w14:schemeClr w14:val="tx1"/>
            </w14:solidFill>
          </w14:textFill>
        </w:rPr>
        <w:t>本项目的特定资格要求：供应商须具有国家卫生行政部门颁发的有效的《医疗机构执业许可证》、《辐射安全许可证》、《放射诊疗许可证》，如已办理多证合一的，须提供《辐射安全许可证》及诊疗科目含医学影像科的《医疗机构执业许可证》。</w:t>
      </w:r>
    </w:p>
    <w:p w14:paraId="46137462">
      <w:pPr>
        <w:spacing w:line="360" w:lineRule="auto"/>
        <w:ind w:firstLine="482" w:firstLineChars="200"/>
        <w:jc w:val="left"/>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14:paraId="40D1D09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14:paraId="68ED61FE">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14:paraId="0F436F09">
      <w:pPr>
        <w:tabs>
          <w:tab w:val="left" w:pos="6255"/>
        </w:tabs>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4994848A">
      <w:pPr>
        <w:spacing w:line="360" w:lineRule="auto"/>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14:paraId="623ECD52">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2024年</w:t>
      </w:r>
      <w:r>
        <w:rPr>
          <w:rFonts w:hint="eastAsia" w:ascii="宋体" w:hAnsi="宋体" w:eastAsia="宋体" w:cs="Times New Roman"/>
          <w:sz w:val="24"/>
          <w:szCs w:val="24"/>
          <w:lang w:val="en-US" w:eastAsia="zh-CN"/>
        </w:rPr>
        <w:t>10</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24</w:t>
      </w:r>
      <w:r>
        <w:rPr>
          <w:rFonts w:hint="eastAsia" w:ascii="宋体" w:hAnsi="宋体" w:eastAsia="宋体" w:cs="Times New Roman"/>
          <w:sz w:val="24"/>
          <w:szCs w:val="24"/>
        </w:rPr>
        <w:t>日时</w:t>
      </w:r>
      <w:r>
        <w:rPr>
          <w:rFonts w:hint="eastAsia" w:ascii="宋体" w:hAnsi="宋体" w:eastAsia="宋体" w:cs="Times New Roman"/>
          <w:sz w:val="24"/>
          <w:szCs w:val="24"/>
          <w:lang w:val="en-US" w:eastAsia="zh-CN"/>
        </w:rPr>
        <w:t>14</w:t>
      </w: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30</w:t>
      </w:r>
      <w:r>
        <w:rPr>
          <w:rFonts w:hint="eastAsia" w:ascii="宋体" w:hAnsi="宋体" w:eastAsia="宋体" w:cs="Times New Roman"/>
          <w:sz w:val="24"/>
          <w:szCs w:val="24"/>
        </w:rPr>
        <w:t>分(北京时间)</w:t>
      </w:r>
    </w:p>
    <w:p w14:paraId="5C6EA55B">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bookmarkStart w:id="34" w:name="_GoBack"/>
      <w:bookmarkEnd w:id="34"/>
    </w:p>
    <w:p w14:paraId="376041DE">
      <w:pPr>
        <w:tabs>
          <w:tab w:val="left" w:pos="6255"/>
        </w:tabs>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14:paraId="698E8DD2">
      <w:pPr>
        <w:pStyle w:val="18"/>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八、提交比选申请文件地点和比选地点</w:t>
      </w:r>
    </w:p>
    <w:p w14:paraId="5C40FAF2">
      <w:pPr>
        <w:pStyle w:val="9"/>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成都市郫都区安德街道彭温路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w:t>
      </w:r>
      <w:r>
        <w:rPr>
          <w:rFonts w:hint="eastAsia" w:ascii="宋体" w:hAnsi="宋体" w:eastAsia="宋体" w:cs="Times New Roman"/>
          <w:color w:val="000000" w:themeColor="text1"/>
          <w:sz w:val="24"/>
          <w:szCs w:val="24"/>
          <w14:textFill>
            <w14:solidFill>
              <w14:schemeClr w14:val="tx1"/>
            </w14:solidFill>
          </w14:textFill>
        </w:rPr>
        <w:t>3</w:t>
      </w:r>
      <w:r>
        <w:rPr>
          <w:rFonts w:ascii="宋体" w:hAnsi="宋体" w:eastAsia="宋体" w:cs="Times New Roman"/>
          <w:color w:val="000000" w:themeColor="text1"/>
          <w:sz w:val="24"/>
          <w:szCs w:val="24"/>
          <w14:textFill>
            <w14:solidFill>
              <w14:schemeClr w14:val="tx1"/>
            </w14:solidFill>
          </w14:textFill>
        </w:rPr>
        <w:t>室(</w:t>
      </w:r>
      <w:r>
        <w:rPr>
          <w:rFonts w:hint="eastAsia" w:ascii="宋体" w:hAnsi="宋体" w:eastAsia="宋体" w:cs="Times New Roman"/>
          <w:color w:val="000000" w:themeColor="text1"/>
          <w:sz w:val="24"/>
          <w:szCs w:val="24"/>
          <w14:textFill>
            <w14:solidFill>
              <w14:schemeClr w14:val="tx1"/>
            </w14:solidFill>
          </w14:textFill>
        </w:rPr>
        <w:t>评标室)</w:t>
      </w:r>
    </w:p>
    <w:p w14:paraId="17F8F735">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九</w:t>
      </w:r>
      <w:r>
        <w:rPr>
          <w:rFonts w:ascii="宋体" w:hAnsi="宋体" w:eastAsia="宋体" w:cs="Times New Roman"/>
          <w:b/>
          <w:sz w:val="24"/>
          <w:szCs w:val="24"/>
        </w:rPr>
        <w:t>、联系方式</w:t>
      </w:r>
    </w:p>
    <w:p w14:paraId="05A7DFD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14:paraId="7B315DD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址：成都市郫都区安德街道彭温路399号</w:t>
      </w:r>
    </w:p>
    <w:p w14:paraId="242456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eastAsia="zh-CN"/>
        </w:rPr>
        <w:t>白</w:t>
      </w:r>
      <w:r>
        <w:rPr>
          <w:rFonts w:hint="eastAsia" w:ascii="宋体" w:hAnsi="宋体" w:eastAsia="宋体" w:cs="Times New Roman"/>
          <w:sz w:val="24"/>
          <w:szCs w:val="24"/>
        </w:rPr>
        <w:t>老师</w:t>
      </w:r>
    </w:p>
    <w:p w14:paraId="376E1ABC">
      <w:pPr>
        <w:spacing w:line="360" w:lineRule="auto"/>
        <w:ind w:firstLine="480" w:firstLineChars="200"/>
        <w:rPr>
          <w:rFonts w:hint="default" w:ascii="宋体" w:hAnsi="宋体" w:cs="Times New Roman" w:eastAsiaTheme="minorEastAsia"/>
          <w:sz w:val="24"/>
          <w:szCs w:val="24"/>
          <w:lang w:val="en-US" w:eastAsia="zh-CN"/>
        </w:rPr>
      </w:pPr>
      <w:r>
        <w:rPr>
          <w:rFonts w:hint="eastAsia" w:ascii="宋体" w:hAnsi="宋体" w:eastAsia="宋体" w:cs="Times New Roman"/>
          <w:sz w:val="24"/>
          <w:szCs w:val="24"/>
        </w:rPr>
        <w:t>联系电话：028-68939875</w:t>
      </w:r>
      <w:r>
        <w:rPr>
          <w:rFonts w:hint="eastAsia" w:ascii="宋体" w:hAnsi="宋体" w:eastAsia="宋体" w:cs="Times New Roman"/>
          <w:sz w:val="24"/>
          <w:szCs w:val="24"/>
          <w:lang w:eastAsia="zh-CN"/>
        </w:rPr>
        <w:t>、</w:t>
      </w:r>
      <w:r>
        <w:rPr>
          <w:rFonts w:hint="eastAsia" w:ascii="宋体" w:hAnsi="宋体" w:eastAsia="宋体" w:cs="Times New Roman"/>
          <w:sz w:val="24"/>
          <w:szCs w:val="24"/>
          <w:lang w:val="en-US" w:eastAsia="zh-CN"/>
        </w:rPr>
        <w:t>0832-6100471</w:t>
      </w:r>
    </w:p>
    <w:p w14:paraId="4FBBE2B6">
      <w:pPr>
        <w:pStyle w:val="17"/>
        <w:rPr>
          <w:rFonts w:ascii="宋体" w:hAnsi="宋体" w:eastAsia="宋体" w:cs="Times New Roman"/>
          <w:sz w:val="24"/>
          <w:szCs w:val="24"/>
        </w:rPr>
      </w:pPr>
    </w:p>
    <w:p w14:paraId="5C759321">
      <w:pPr>
        <w:rPr>
          <w:rFonts w:ascii="宋体" w:hAnsi="宋体" w:eastAsia="宋体" w:cs="Times New Roman"/>
          <w:sz w:val="24"/>
          <w:szCs w:val="24"/>
        </w:rPr>
      </w:pPr>
    </w:p>
    <w:p w14:paraId="48C4C98F">
      <w:pPr>
        <w:pStyle w:val="17"/>
        <w:rPr>
          <w:rFonts w:ascii="宋体" w:hAnsi="宋体" w:eastAsia="宋体" w:cs="Times New Roman"/>
          <w:sz w:val="24"/>
          <w:szCs w:val="24"/>
        </w:rPr>
      </w:pPr>
    </w:p>
    <w:p w14:paraId="28974B0B">
      <w:pPr>
        <w:rPr>
          <w:rFonts w:ascii="宋体" w:hAnsi="宋体" w:eastAsia="宋体" w:cs="Times New Roman"/>
          <w:sz w:val="24"/>
          <w:szCs w:val="24"/>
        </w:rPr>
      </w:pPr>
    </w:p>
    <w:p w14:paraId="1627D6C1">
      <w:pPr>
        <w:pStyle w:val="17"/>
        <w:rPr>
          <w:rFonts w:ascii="宋体" w:hAnsi="宋体" w:eastAsia="宋体" w:cs="Times New Roman"/>
          <w:sz w:val="24"/>
          <w:szCs w:val="24"/>
        </w:rPr>
      </w:pPr>
    </w:p>
    <w:p w14:paraId="0B8B4EE3">
      <w:pPr>
        <w:rPr>
          <w:rFonts w:ascii="宋体" w:hAnsi="宋体" w:eastAsia="宋体" w:cs="Times New Roman"/>
          <w:sz w:val="24"/>
          <w:szCs w:val="24"/>
        </w:rPr>
      </w:pPr>
    </w:p>
    <w:p w14:paraId="08BC895A">
      <w:pPr>
        <w:pStyle w:val="17"/>
        <w:rPr>
          <w:rFonts w:ascii="宋体" w:hAnsi="宋体" w:eastAsia="宋体" w:cs="Times New Roman"/>
          <w:sz w:val="24"/>
          <w:szCs w:val="24"/>
        </w:rPr>
      </w:pPr>
    </w:p>
    <w:p w14:paraId="42835C03">
      <w:pPr>
        <w:rPr>
          <w:rFonts w:ascii="宋体" w:hAnsi="宋体" w:eastAsia="宋体" w:cs="Times New Roman"/>
          <w:sz w:val="24"/>
          <w:szCs w:val="24"/>
        </w:rPr>
      </w:pPr>
    </w:p>
    <w:p w14:paraId="555B202F">
      <w:pPr>
        <w:pStyle w:val="17"/>
        <w:rPr>
          <w:rFonts w:ascii="宋体" w:hAnsi="宋体" w:eastAsia="宋体" w:cs="Times New Roman"/>
          <w:sz w:val="24"/>
          <w:szCs w:val="24"/>
        </w:rPr>
      </w:pPr>
    </w:p>
    <w:p w14:paraId="6B048A5A">
      <w:pPr>
        <w:rPr>
          <w:rFonts w:ascii="宋体" w:hAnsi="宋体" w:eastAsia="宋体" w:cs="Times New Roman"/>
          <w:sz w:val="24"/>
          <w:szCs w:val="24"/>
        </w:rPr>
      </w:pPr>
    </w:p>
    <w:p w14:paraId="4CC3FA8A">
      <w:pPr>
        <w:pStyle w:val="17"/>
        <w:rPr>
          <w:rFonts w:ascii="宋体" w:hAnsi="宋体" w:eastAsia="宋体" w:cs="Times New Roman"/>
          <w:sz w:val="24"/>
          <w:szCs w:val="24"/>
        </w:rPr>
      </w:pPr>
    </w:p>
    <w:p w14:paraId="7ED6BD6D">
      <w:pPr>
        <w:rPr>
          <w:rFonts w:ascii="宋体" w:hAnsi="宋体" w:eastAsia="宋体" w:cs="Times New Roman"/>
          <w:sz w:val="24"/>
          <w:szCs w:val="24"/>
        </w:rPr>
      </w:pPr>
    </w:p>
    <w:p w14:paraId="73343703">
      <w:pPr>
        <w:pStyle w:val="17"/>
        <w:rPr>
          <w:rFonts w:ascii="宋体" w:hAnsi="宋体" w:eastAsia="宋体" w:cs="Times New Roman"/>
          <w:sz w:val="24"/>
          <w:szCs w:val="24"/>
        </w:rPr>
      </w:pPr>
    </w:p>
    <w:p w14:paraId="0641A776">
      <w:pPr>
        <w:rPr>
          <w:rFonts w:ascii="宋体" w:hAnsi="宋体" w:eastAsia="宋体" w:cs="Times New Roman"/>
          <w:sz w:val="24"/>
          <w:szCs w:val="24"/>
        </w:rPr>
      </w:pPr>
    </w:p>
    <w:p w14:paraId="79868881">
      <w:pPr>
        <w:pStyle w:val="17"/>
        <w:rPr>
          <w:rFonts w:ascii="宋体" w:hAnsi="宋体" w:eastAsia="宋体" w:cs="Times New Roman"/>
          <w:sz w:val="24"/>
          <w:szCs w:val="24"/>
        </w:rPr>
      </w:pPr>
    </w:p>
    <w:p w14:paraId="75B37E5E">
      <w:pPr>
        <w:rPr>
          <w:rFonts w:ascii="宋体" w:hAnsi="宋体" w:eastAsia="宋体" w:cs="Times New Roman"/>
          <w:sz w:val="24"/>
          <w:szCs w:val="24"/>
        </w:rPr>
      </w:pPr>
    </w:p>
    <w:p w14:paraId="66CABC7B">
      <w:pPr>
        <w:pStyle w:val="17"/>
        <w:rPr>
          <w:rFonts w:ascii="宋体" w:hAnsi="宋体" w:eastAsia="宋体" w:cs="Times New Roman"/>
          <w:sz w:val="24"/>
          <w:szCs w:val="24"/>
        </w:rPr>
      </w:pPr>
    </w:p>
    <w:p w14:paraId="6A7F17B9"/>
    <w:p w14:paraId="476F63C9">
      <w:pPr>
        <w:pStyle w:val="17"/>
        <w:rPr>
          <w:rFonts w:ascii="宋体" w:hAnsi="宋体" w:eastAsia="宋体" w:cs="Times New Roman"/>
          <w:sz w:val="24"/>
          <w:szCs w:val="24"/>
        </w:rPr>
      </w:pPr>
    </w:p>
    <w:p w14:paraId="34D8E501">
      <w:pPr>
        <w:widowControl/>
        <w:spacing w:line="520" w:lineRule="exact"/>
        <w:ind w:firstLine="2891" w:firstLineChars="800"/>
        <w:jc w:val="both"/>
        <w:outlineLvl w:val="0"/>
        <w:rPr>
          <w:rFonts w:hint="eastAsia" w:ascii="宋体" w:hAnsi="宋体" w:eastAsia="宋体" w:cs="仿宋"/>
          <w:b/>
          <w:sz w:val="36"/>
          <w:szCs w:val="32"/>
        </w:rPr>
      </w:pPr>
      <w:bookmarkStart w:id="2" w:name="_Toc4075"/>
      <w:bookmarkStart w:id="3" w:name="_Toc23677"/>
      <w:bookmarkStart w:id="4" w:name="_Toc18147"/>
    </w:p>
    <w:p w14:paraId="13D140CF">
      <w:pPr>
        <w:widowControl/>
        <w:spacing w:line="520" w:lineRule="exact"/>
        <w:ind w:firstLine="2891" w:firstLineChars="800"/>
        <w:jc w:val="both"/>
        <w:outlineLvl w:val="0"/>
        <w:rPr>
          <w:rFonts w:hint="eastAsia" w:ascii="宋体" w:hAnsi="宋体" w:eastAsia="宋体" w:cs="仿宋"/>
          <w:b/>
          <w:sz w:val="36"/>
          <w:szCs w:val="32"/>
        </w:rPr>
      </w:pPr>
    </w:p>
    <w:p w14:paraId="6DB92FA9">
      <w:pPr>
        <w:widowControl/>
        <w:spacing w:line="520" w:lineRule="exact"/>
        <w:ind w:firstLine="2891" w:firstLineChars="800"/>
        <w:jc w:val="both"/>
        <w:outlineLvl w:val="0"/>
        <w:rPr>
          <w:rFonts w:ascii="宋体" w:hAnsi="宋体" w:eastAsia="宋体" w:cs="仿宋"/>
          <w:b/>
          <w:sz w:val="36"/>
          <w:szCs w:val="32"/>
        </w:rPr>
      </w:pPr>
      <w:r>
        <w:rPr>
          <w:rFonts w:hint="eastAsia" w:ascii="宋体" w:hAnsi="宋体" w:eastAsia="宋体" w:cs="仿宋"/>
          <w:b/>
          <w:sz w:val="36"/>
          <w:szCs w:val="32"/>
        </w:rPr>
        <w:t>第二章 比选须知</w:t>
      </w:r>
      <w:bookmarkEnd w:id="2"/>
      <w:bookmarkEnd w:id="3"/>
      <w:bookmarkEnd w:id="4"/>
    </w:p>
    <w:p w14:paraId="3F15F09A">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23"/>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14:paraId="6BA7D2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14:paraId="7C8CD7BE">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14:paraId="4E2ADE4A">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14:paraId="2CC3270F">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14:paraId="72CC711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DB7B1F0">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272E45B3">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14:paraId="69F85B40">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14:paraId="382E10CF">
            <w:pPr>
              <w:pStyle w:val="43"/>
              <w:spacing w:line="360" w:lineRule="exact"/>
              <w:ind w:left="210" w:leftChars="100"/>
              <w:jc w:val="both"/>
              <w:rPr>
                <w:rFonts w:cs="Times New Roman"/>
                <w:kern w:val="2"/>
                <w:lang w:val="zh-CN"/>
              </w:rPr>
            </w:pPr>
            <w:r>
              <w:rPr>
                <w:rFonts w:hint="eastAsia" w:cs="Times New Roman"/>
                <w:kern w:val="2"/>
                <w:lang w:val="zh-CN"/>
              </w:rPr>
              <w:t>人民币</w:t>
            </w:r>
            <w:r>
              <w:rPr>
                <w:rFonts w:hint="eastAsia" w:cs="Times New Roman"/>
                <w:kern w:val="2"/>
                <w:lang w:val="en-US" w:eastAsia="zh-CN"/>
              </w:rPr>
              <w:t>8.88</w:t>
            </w:r>
            <w:r>
              <w:rPr>
                <w:rFonts w:hint="eastAsia" w:cs="Times New Roman"/>
                <w:kern w:val="2"/>
                <w:lang w:val="zh-CN"/>
              </w:rPr>
              <w:t>万元</w:t>
            </w:r>
          </w:p>
          <w:p w14:paraId="05097CC7">
            <w:pPr>
              <w:pStyle w:val="43"/>
              <w:spacing w:line="360" w:lineRule="exact"/>
              <w:ind w:left="210" w:leftChars="100"/>
              <w:jc w:val="both"/>
              <w:rPr>
                <w:rFonts w:cs="Times New Roman"/>
                <w:kern w:val="2"/>
                <w:lang w:val="zh-CN"/>
              </w:rPr>
            </w:pPr>
            <w:r>
              <w:rPr>
                <w:rFonts w:hint="eastAsia" w:cs="Times New Roman"/>
                <w:kern w:val="2"/>
                <w:lang w:val="zh-CN"/>
              </w:rPr>
              <w:t>超过最高限价的报价，其比选</w:t>
            </w:r>
            <w:bookmarkStart w:id="5" w:name="_Hlk136353364"/>
            <w:r>
              <w:rPr>
                <w:rFonts w:hint="eastAsia" w:cs="Times New Roman"/>
                <w:kern w:val="2"/>
                <w:lang w:val="zh-CN"/>
              </w:rPr>
              <w:t>申请文件作无效处理</w:t>
            </w:r>
            <w:bookmarkEnd w:id="5"/>
          </w:p>
        </w:tc>
      </w:tr>
      <w:tr w14:paraId="681249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7927A9D">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22D6682C">
            <w:pPr>
              <w:pStyle w:val="43"/>
              <w:spacing w:line="360" w:lineRule="exact"/>
              <w:jc w:val="center"/>
              <w:rPr>
                <w:rFonts w:cs="Times New Roman"/>
                <w:sz w:val="22"/>
                <w:szCs w:val="22"/>
                <w:lang w:val="zh-CN"/>
              </w:rPr>
            </w:pPr>
            <w:r>
              <w:rPr>
                <w:rFonts w:cs="Times New Roman"/>
                <w:sz w:val="22"/>
                <w:szCs w:val="22"/>
                <w:lang w:val="zh-CN"/>
              </w:rPr>
              <w:t>不正当竞争预防措施</w:t>
            </w:r>
          </w:p>
          <w:p w14:paraId="4D096608">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0A7741BF">
            <w:pPr>
              <w:pStyle w:val="43"/>
              <w:spacing w:line="360" w:lineRule="exact"/>
              <w:ind w:left="210" w:leftChars="100"/>
              <w:jc w:val="both"/>
              <w:rPr>
                <w:rFonts w:cs="Times New Roman"/>
                <w:kern w:val="2"/>
              </w:rPr>
            </w:pPr>
            <w:r>
              <w:rPr>
                <w:rFonts w:hint="eastAsia" w:cs="Times New Roman"/>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14:paraId="49DFB9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16D29F8C">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5D45405F">
            <w:pPr>
              <w:pStyle w:val="43"/>
              <w:spacing w:line="360" w:lineRule="exact"/>
              <w:jc w:val="center"/>
              <w:rPr>
                <w:rFonts w:cs="Times New Roman"/>
                <w:sz w:val="22"/>
                <w:szCs w:val="22"/>
              </w:rPr>
            </w:pPr>
            <w:r>
              <w:rPr>
                <w:rFonts w:hint="eastAsia" w:cs="Times New Roman"/>
                <w:sz w:val="22"/>
                <w:szCs w:val="22"/>
              </w:rPr>
              <w:t>信用记录查询</w:t>
            </w:r>
          </w:p>
          <w:p w14:paraId="52622600">
            <w:pPr>
              <w:pStyle w:val="43"/>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14:paraId="421E5BCF">
            <w:pPr>
              <w:pStyle w:val="43"/>
              <w:spacing w:line="360" w:lineRule="exact"/>
              <w:ind w:left="210" w:leftChars="100"/>
              <w:jc w:val="both"/>
              <w:rPr>
                <w:rFonts w:cs="Times New Roman"/>
                <w:kern w:val="2"/>
                <w:lang w:val="zh-CN"/>
              </w:rPr>
            </w:pPr>
            <w:r>
              <w:rPr>
                <w:rFonts w:hint="eastAsia" w:cs="Times New Roman"/>
                <w:kern w:val="2"/>
                <w:lang w:val="zh-CN"/>
              </w:rPr>
              <w:t>（1）比选人通过</w:t>
            </w:r>
          </w:p>
          <w:p w14:paraId="0F56D7F8">
            <w:pPr>
              <w:pStyle w:val="43"/>
              <w:spacing w:line="360" w:lineRule="exact"/>
              <w:ind w:left="210" w:leftChars="100"/>
              <w:jc w:val="both"/>
              <w:rPr>
                <w:rFonts w:cs="Times New Roman"/>
                <w:kern w:val="2"/>
                <w:lang w:val="zh-CN"/>
              </w:rPr>
            </w:pPr>
            <w:r>
              <w:rPr>
                <w:rFonts w:hint="eastAsia" w:cs="Times New Roman"/>
                <w:kern w:val="2"/>
                <w:lang w:val="zh-CN"/>
              </w:rPr>
              <w:t>信用中国（</w:t>
            </w:r>
            <w:r>
              <w:fldChar w:fldCharType="begin"/>
            </w:r>
            <w:r>
              <w:instrText xml:space="preserve"> HYPERLINK "http://www.creditchina.gov.cn）、中国政府采购网（www.ccgp.gov.cn）" </w:instrText>
            </w:r>
            <w:r>
              <w:fldChar w:fldCharType="separate"/>
            </w:r>
            <w:r>
              <w:rPr>
                <w:rFonts w:hint="eastAsia" w:cs="Times New Roman"/>
                <w:kern w:val="2"/>
                <w:lang w:val="zh-CN"/>
              </w:rPr>
              <w:t>www.creditchina.gov.cn）和中国政府采购网（www.ccgp.gov.cn）</w:t>
            </w:r>
            <w:r>
              <w:rPr>
                <w:rFonts w:hint="eastAsia" w:cs="Times New Roman"/>
                <w:kern w:val="2"/>
                <w:lang w:val="zh-CN"/>
              </w:rPr>
              <w:fldChar w:fldCharType="end"/>
            </w:r>
            <w:r>
              <w:rPr>
                <w:rFonts w:hint="eastAsia" w:cs="Times New Roman"/>
                <w:kern w:val="2"/>
                <w:lang w:val="zh-CN"/>
              </w:rPr>
              <w:t>进行信用记录查询；</w:t>
            </w:r>
          </w:p>
          <w:p w14:paraId="5A1005EA">
            <w:pPr>
              <w:pStyle w:val="43"/>
              <w:spacing w:line="360" w:lineRule="exact"/>
              <w:ind w:left="210" w:leftChars="100"/>
              <w:jc w:val="both"/>
              <w:rPr>
                <w:rFonts w:cs="Times New Roman"/>
                <w:kern w:val="2"/>
                <w:lang w:val="zh-CN"/>
              </w:rPr>
            </w:pPr>
            <w:r>
              <w:rPr>
                <w:rFonts w:hint="eastAsia" w:cs="Times New Roman"/>
                <w:kern w:val="2"/>
                <w:lang w:val="zh-CN"/>
              </w:rPr>
              <w:t>（2）查询时间：本项目资格审查时；</w:t>
            </w:r>
          </w:p>
          <w:p w14:paraId="71D5036C">
            <w:pPr>
              <w:pStyle w:val="43"/>
              <w:spacing w:line="360" w:lineRule="exact"/>
              <w:ind w:left="210" w:leftChars="100"/>
              <w:jc w:val="both"/>
              <w:rPr>
                <w:rFonts w:cs="Times New Roman"/>
                <w:kern w:val="2"/>
                <w:lang w:val="zh-CN"/>
              </w:rPr>
            </w:pPr>
            <w:r>
              <w:rPr>
                <w:rFonts w:hint="eastAsia" w:cs="Times New Roman"/>
                <w:kern w:val="2"/>
                <w:lang w:val="zh-CN"/>
              </w:rPr>
              <w:t>（3）查询记录和证据留存的具体方式：与比选文件一并保存；</w:t>
            </w:r>
          </w:p>
          <w:p w14:paraId="0FD67842">
            <w:pPr>
              <w:pStyle w:val="43"/>
              <w:spacing w:line="360" w:lineRule="exact"/>
              <w:ind w:left="210" w:leftChars="100"/>
              <w:jc w:val="both"/>
              <w:rPr>
                <w:rFonts w:cs="Times New Roman"/>
                <w:kern w:val="2"/>
              </w:rPr>
            </w:pPr>
            <w:r>
              <w:rPr>
                <w:rFonts w:hint="eastAsia" w:cs="Times New Roman"/>
                <w:kern w:val="2"/>
                <w:lang w:val="zh-CN"/>
              </w:rPr>
              <w:t>（4）使用规则：对列入失信被执行人、重大税收违法案件当事人名单、政府采购严重违法失信行为记录名单的供应商，拒绝其参与政府采购活动</w:t>
            </w:r>
            <w:r>
              <w:rPr>
                <w:rFonts w:hint="eastAsia" w:cs="Times New Roman"/>
                <w:kern w:val="2"/>
              </w:rPr>
              <w:t>.</w:t>
            </w:r>
          </w:p>
        </w:tc>
      </w:tr>
      <w:tr w14:paraId="74438C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9839589">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03BFDE4E">
            <w:pPr>
              <w:pStyle w:val="43"/>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14:paraId="5A7451C9">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7A937F49">
            <w:pPr>
              <w:pStyle w:val="43"/>
              <w:spacing w:line="360" w:lineRule="exact"/>
              <w:ind w:left="210" w:leftChars="100"/>
              <w:jc w:val="both"/>
              <w:rPr>
                <w:rFonts w:cs="Times New Roman"/>
                <w:kern w:val="2"/>
                <w:lang w:val="zh-CN"/>
              </w:rPr>
            </w:pPr>
            <w:r>
              <w:rPr>
                <w:rFonts w:hint="eastAsia" w:cs="Times New Roman"/>
                <w:kern w:val="2"/>
                <w:lang w:val="zh-CN"/>
              </w:rPr>
              <w:t>提交比选申请文件截止之日起90日</w:t>
            </w:r>
          </w:p>
        </w:tc>
      </w:tr>
      <w:tr w14:paraId="443942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6FA1B92">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166A9E8F">
            <w:pPr>
              <w:pStyle w:val="43"/>
              <w:spacing w:line="360" w:lineRule="exact"/>
              <w:jc w:val="center"/>
              <w:rPr>
                <w:rFonts w:cs="Times New Roman"/>
                <w:sz w:val="22"/>
                <w:szCs w:val="22"/>
                <w:lang w:val="zh-CN"/>
              </w:rPr>
            </w:pPr>
            <w:r>
              <w:rPr>
                <w:rFonts w:hint="eastAsia" w:cs="Times New Roman"/>
                <w:sz w:val="22"/>
                <w:szCs w:val="22"/>
                <w:lang w:val="zh-CN"/>
              </w:rPr>
              <w:t>合同分包</w:t>
            </w:r>
          </w:p>
          <w:p w14:paraId="164696FE">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43225BAC">
            <w:pPr>
              <w:pStyle w:val="43"/>
              <w:spacing w:line="360" w:lineRule="exact"/>
              <w:ind w:left="210" w:leftChars="100"/>
              <w:jc w:val="both"/>
              <w:rPr>
                <w:rFonts w:cs="Times New Roman"/>
                <w:kern w:val="2"/>
                <w:lang w:val="zh-CN"/>
              </w:rPr>
            </w:pPr>
            <w:r>
              <w:rPr>
                <w:rFonts w:hint="eastAsia" w:cs="Times New Roman"/>
                <w:kern w:val="2"/>
                <w:lang w:val="zh-CN"/>
              </w:rPr>
              <w:t>不接受</w:t>
            </w:r>
          </w:p>
        </w:tc>
      </w:tr>
      <w:tr w14:paraId="503290E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220E9F18">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4F61E4F9">
            <w:pPr>
              <w:pStyle w:val="43"/>
              <w:spacing w:line="360" w:lineRule="exact"/>
              <w:jc w:val="center"/>
              <w:rPr>
                <w:rFonts w:cs="Times New Roman"/>
                <w:sz w:val="22"/>
                <w:szCs w:val="22"/>
                <w:lang w:val="zh-CN"/>
              </w:rPr>
            </w:pPr>
            <w:r>
              <w:rPr>
                <w:rFonts w:hint="eastAsia" w:cs="Times New Roman"/>
                <w:sz w:val="22"/>
                <w:szCs w:val="22"/>
                <w:lang w:val="zh-CN"/>
              </w:rPr>
              <w:t>联合体</w:t>
            </w:r>
          </w:p>
          <w:p w14:paraId="23486ADC">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352BD385">
            <w:pPr>
              <w:pStyle w:val="43"/>
              <w:spacing w:line="360" w:lineRule="exact"/>
              <w:ind w:left="210" w:leftChars="100"/>
              <w:jc w:val="both"/>
              <w:rPr>
                <w:rFonts w:cs="Times New Roman"/>
                <w:kern w:val="2"/>
                <w:lang w:val="zh-CN"/>
              </w:rPr>
            </w:pPr>
            <w:r>
              <w:rPr>
                <w:rFonts w:hint="eastAsia" w:cs="Times New Roman"/>
                <w:kern w:val="2"/>
                <w:lang w:val="zh-CN"/>
              </w:rPr>
              <w:t>不接受</w:t>
            </w:r>
          </w:p>
        </w:tc>
      </w:tr>
      <w:tr w14:paraId="46721A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0BD323F">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460E3F4D">
            <w:pPr>
              <w:pStyle w:val="43"/>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14:paraId="6993C8A3">
            <w:pPr>
              <w:pStyle w:val="43"/>
              <w:spacing w:line="360" w:lineRule="exact"/>
              <w:ind w:left="210" w:leftChars="100"/>
              <w:jc w:val="both"/>
              <w:rPr>
                <w:rFonts w:cs="Times New Roman"/>
                <w:kern w:val="2"/>
                <w:lang w:val="zh-CN"/>
              </w:rPr>
            </w:pPr>
            <w:r>
              <w:rPr>
                <w:rFonts w:hint="eastAsia" w:cs="Times New Roman"/>
                <w:kern w:val="2"/>
                <w:lang w:val="zh-CN"/>
              </w:rPr>
              <w:t>综合评分法</w:t>
            </w:r>
          </w:p>
        </w:tc>
      </w:tr>
      <w:tr w14:paraId="1A63CA7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7EA843CA">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601D6553">
            <w:pPr>
              <w:pStyle w:val="43"/>
              <w:spacing w:line="360" w:lineRule="exact"/>
              <w:jc w:val="center"/>
              <w:rPr>
                <w:rFonts w:cs="Times New Roman"/>
                <w:sz w:val="22"/>
                <w:szCs w:val="22"/>
                <w:lang w:val="zh-CN"/>
              </w:rPr>
            </w:pPr>
            <w:r>
              <w:rPr>
                <w:rFonts w:hint="eastAsia" w:cs="Times New Roman"/>
                <w:sz w:val="22"/>
                <w:szCs w:val="22"/>
                <w:lang w:val="zh-CN"/>
              </w:rPr>
              <w:t>比选申请文件的份数</w:t>
            </w:r>
          </w:p>
          <w:p w14:paraId="6C2F48BC">
            <w:pPr>
              <w:pStyle w:val="43"/>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14:paraId="1C0101E5">
            <w:pPr>
              <w:pStyle w:val="43"/>
              <w:spacing w:line="360" w:lineRule="exact"/>
              <w:ind w:left="210" w:leftChars="100"/>
              <w:jc w:val="both"/>
              <w:rPr>
                <w:rFonts w:cs="Times New Roman"/>
                <w:kern w:val="2"/>
                <w:lang w:val="zh-CN"/>
              </w:rPr>
            </w:pPr>
            <w:r>
              <w:rPr>
                <w:rFonts w:hint="eastAsia" w:cs="Times New Roman"/>
                <w:kern w:val="2"/>
                <w:lang w:val="zh-CN"/>
              </w:rPr>
              <w:t>“比选申请文件”正本1份。</w:t>
            </w:r>
          </w:p>
        </w:tc>
      </w:tr>
      <w:tr w14:paraId="0E7CBA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309201A7">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521C6409">
            <w:pPr>
              <w:pStyle w:val="43"/>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14:paraId="75B67759">
            <w:pPr>
              <w:pStyle w:val="43"/>
              <w:spacing w:line="360" w:lineRule="exact"/>
              <w:ind w:left="210" w:leftChars="100"/>
              <w:jc w:val="both"/>
              <w:rPr>
                <w:rFonts w:cs="Times New Roman"/>
                <w:kern w:val="2"/>
                <w:lang w:val="zh-CN"/>
              </w:rPr>
            </w:pPr>
            <w:r>
              <w:rPr>
                <w:rFonts w:hint="eastAsia" w:cs="Times New Roman"/>
                <w:kern w:val="2"/>
                <w:lang w:val="zh-CN"/>
              </w:rPr>
              <w:t>不举行</w:t>
            </w:r>
          </w:p>
        </w:tc>
      </w:tr>
      <w:tr w14:paraId="2A3E4D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5B754086">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09B5BD29">
            <w:pPr>
              <w:pStyle w:val="43"/>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14:paraId="4CFFC25A">
            <w:pPr>
              <w:pStyle w:val="43"/>
              <w:spacing w:line="360" w:lineRule="exact"/>
              <w:ind w:left="210" w:leftChars="100"/>
              <w:jc w:val="both"/>
              <w:rPr>
                <w:rFonts w:cs="Times New Roman"/>
                <w:kern w:val="2"/>
                <w:lang w:val="zh-CN"/>
              </w:rPr>
            </w:pPr>
            <w:r>
              <w:rPr>
                <w:rFonts w:hint="eastAsia" w:cs="Times New Roman"/>
                <w:kern w:val="2"/>
                <w:lang w:val="zh-CN"/>
              </w:rPr>
              <w:t>电话：028-68939875</w:t>
            </w:r>
          </w:p>
        </w:tc>
      </w:tr>
      <w:tr w14:paraId="6F1962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0EF77F21">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0C177F52">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14:paraId="65A21EC0">
            <w:pPr>
              <w:pStyle w:val="43"/>
              <w:spacing w:line="360" w:lineRule="auto"/>
              <w:ind w:left="210" w:leftChars="100"/>
              <w:jc w:val="both"/>
              <w:rPr>
                <w:rFonts w:cs="Times New Roman"/>
                <w:kern w:val="2"/>
                <w:lang w:val="zh-CN"/>
              </w:rPr>
            </w:pPr>
            <w:r>
              <w:rPr>
                <w:rFonts w:hint="eastAsia" w:cs="Times New Roman"/>
                <w:kern w:val="2"/>
                <w:lang w:val="zh-CN"/>
              </w:rPr>
              <w:t>比选结果将在“四川铁道职业学院官网”公告</w:t>
            </w:r>
          </w:p>
        </w:tc>
      </w:tr>
      <w:tr w14:paraId="320D6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14:paraId="62691931">
            <w:pPr>
              <w:pStyle w:val="42"/>
              <w:numPr>
                <w:ilvl w:val="0"/>
                <w:numId w:val="3"/>
              </w:numPr>
              <w:tabs>
                <w:tab w:val="left" w:pos="220"/>
                <w:tab w:val="clear" w:pos="0"/>
              </w:tabs>
              <w:adjustRightInd w:val="0"/>
              <w:snapToGrid w:val="0"/>
              <w:jc w:val="both"/>
              <w:rPr>
                <w:rFonts w:cs="仿宋"/>
                <w:szCs w:val="21"/>
              </w:rPr>
            </w:pPr>
          </w:p>
        </w:tc>
        <w:tc>
          <w:tcPr>
            <w:tcW w:w="2210" w:type="dxa"/>
            <w:vAlign w:val="center"/>
          </w:tcPr>
          <w:p w14:paraId="2208DA06">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14:paraId="4446837F">
            <w:pPr>
              <w:pStyle w:val="43"/>
              <w:spacing w:line="360" w:lineRule="exact"/>
              <w:ind w:left="210" w:leftChars="100"/>
              <w:jc w:val="both"/>
              <w:rPr>
                <w:rFonts w:cs="Times New Roman"/>
                <w:kern w:val="2"/>
                <w:lang w:val="zh-CN"/>
              </w:rPr>
            </w:pPr>
            <w:r>
              <w:rPr>
                <w:rFonts w:hint="eastAsia" w:cs="Times New Roman"/>
                <w:kern w:val="2"/>
                <w:lang w:val="zh-CN"/>
              </w:rPr>
              <w:t>本比选为非政府比选项目，比选文件中所有涉及政府采购相关内容均为参照执行；比选人不对结果作任何解释；最终解释权归比选人所有。</w:t>
            </w:r>
          </w:p>
        </w:tc>
      </w:tr>
    </w:tbl>
    <w:p w14:paraId="2A49ADD1">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14:paraId="2919D9D8">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14:paraId="5424A2BD">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14:paraId="4ED6A8B8">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14:paraId="7AC64559">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14:paraId="19B95822">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14:paraId="675C992C">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14:paraId="7C28E8F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14:paraId="547B05A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14:paraId="3379F878">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0BA5C4DA">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14:paraId="6DD27C9F">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14:paraId="03F0316C">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14:paraId="2D13B37D">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14:paraId="76328D02">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14:paraId="0DE1ADC9">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14:paraId="44A15B4F">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14:paraId="4572DFA3">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14:paraId="50444D0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14:paraId="7221E3F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14:paraId="1CC0990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14:paraId="3259008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14:paraId="2CCDA12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14:paraId="21C9A2A0">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14:paraId="2DA22A3C">
      <w:pPr>
        <w:spacing w:line="360" w:lineRule="auto"/>
        <w:ind w:firstLine="3373" w:firstLineChars="1200"/>
        <w:jc w:val="both"/>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14:paraId="7FBB8E8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14:paraId="49AC37C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0A1FED7F">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14:paraId="00F61C8E">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14:paraId="6E6501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14:paraId="2D896B5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14:paraId="1E7D61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14:paraId="121105FE">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14:paraId="7432CA3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14:paraId="0F2BCB4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14:paraId="4B98C963">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14:paraId="6935C67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54ABDB8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14:paraId="56E79B3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14:paraId="35C0D62C">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183582216"/>
      <w:bookmarkStart w:id="11" w:name="_Toc183682353"/>
      <w:bookmarkStart w:id="12" w:name="_Toc217446044"/>
    </w:p>
    <w:p w14:paraId="73EBF03F">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14:paraId="75F6E001">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14:paraId="29DD2A5D">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14:paraId="1801DE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14:paraId="4735F2B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14:paraId="16278F3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14:paraId="5FF4E64B">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27D252E6">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14:paraId="2A852B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16DD24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14:paraId="4265714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14:paraId="7877E851">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14:paraId="0919855F">
      <w:pPr>
        <w:spacing w:line="360" w:lineRule="auto"/>
        <w:ind w:firstLine="482" w:firstLineChars="200"/>
        <w:outlineLvl w:val="2"/>
      </w:pPr>
      <w:r>
        <w:rPr>
          <w:rFonts w:hint="eastAsia" w:ascii="宋体" w:hAnsi="宋体" w:eastAsia="宋体" w:cs="Times New Roman"/>
          <w:b/>
          <w:sz w:val="24"/>
          <w:szCs w:val="24"/>
        </w:rPr>
        <w:t>（七）比选申请文件格式</w:t>
      </w:r>
    </w:p>
    <w:p w14:paraId="76F6994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14:paraId="63EA708F">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14:paraId="78F1A888">
      <w:pPr>
        <w:pStyle w:val="4"/>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14:paraId="1E50453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14:paraId="096B089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14:paraId="402D2287">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14:paraId="70654E1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14:paraId="5E9B482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14:paraId="7A16CD97">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14:paraId="1FD2B9FE">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7.比选申请文件正本可以采用A4幅面纸胶装方式装订成册并逐页编码。</w:t>
      </w:r>
      <w:r>
        <w:rPr>
          <w:rFonts w:hint="eastAsia" w:ascii="宋体" w:hAnsi="宋体" w:eastAsia="宋体" w:cs="Times New Roman"/>
          <w:b/>
          <w:bCs/>
          <w:sz w:val="24"/>
          <w:szCs w:val="24"/>
        </w:rPr>
        <w:t>（实质性要求）</w:t>
      </w:r>
    </w:p>
    <w:p w14:paraId="0B3B845F">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14:paraId="0DA237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14:paraId="546BD3EC">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14:paraId="3868FFD2">
      <w:pPr>
        <w:spacing w:line="360" w:lineRule="auto"/>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14:paraId="42A1CC0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14:paraId="35AFFF5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w:t>
      </w:r>
      <w:r>
        <w:rPr>
          <w:rFonts w:hint="eastAsia" w:ascii="宋体" w:hAnsi="宋体" w:eastAsia="宋体" w:cs="Times New Roman"/>
          <w:sz w:val="24"/>
          <w:szCs w:val="24"/>
          <w:lang w:val="en-US" w:eastAsia="zh-CN"/>
        </w:rPr>
        <w:t>比</w:t>
      </w:r>
      <w:r>
        <w:rPr>
          <w:rFonts w:hint="eastAsia" w:ascii="宋体" w:hAnsi="宋体" w:eastAsia="宋体" w:cs="Times New Roman"/>
          <w:sz w:val="24"/>
          <w:szCs w:val="24"/>
        </w:rPr>
        <w:t>选人应当拒收。</w:t>
      </w:r>
      <w:r>
        <w:rPr>
          <w:rFonts w:hint="eastAsia" w:ascii="宋体" w:hAnsi="宋体" w:eastAsia="宋体" w:cs="Times New Roman"/>
          <w:b/>
          <w:sz w:val="24"/>
          <w:szCs w:val="24"/>
        </w:rPr>
        <w:t>（实质性要求）</w:t>
      </w:r>
    </w:p>
    <w:p w14:paraId="7A701AAD">
      <w:pPr>
        <w:spacing w:line="360" w:lineRule="auto"/>
        <w:outlineLvl w:val="2"/>
        <w:rPr>
          <w:rFonts w:ascii="宋体" w:hAnsi="宋体" w:eastAsia="宋体" w:cs="Times New Roman"/>
          <w:b/>
          <w:sz w:val="24"/>
          <w:szCs w:val="24"/>
        </w:rPr>
      </w:pPr>
      <w:bookmarkStart w:id="13" w:name="_Toc183582228"/>
      <w:bookmarkStart w:id="14" w:name="_Toc217446055"/>
      <w:bookmarkStart w:id="15" w:name="_Toc183682365"/>
      <w:r>
        <w:rPr>
          <w:rFonts w:hint="eastAsia" w:ascii="宋体" w:hAnsi="宋体" w:eastAsia="宋体" w:cs="Times New Roman"/>
          <w:b/>
          <w:sz w:val="24"/>
          <w:szCs w:val="24"/>
        </w:rPr>
        <w:t>（十一）比选申请文件的修改和撤回</w:t>
      </w:r>
    </w:p>
    <w:p w14:paraId="3ADF0DE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14:paraId="298F180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14:paraId="4D918C3B">
      <w:pPr>
        <w:pStyle w:val="9"/>
      </w:pPr>
    </w:p>
    <w:p w14:paraId="7C3982B9">
      <w:pPr>
        <w:spacing w:line="360" w:lineRule="auto"/>
        <w:ind w:firstLine="281" w:firstLineChars="100"/>
        <w:jc w:val="center"/>
        <w:outlineLvl w:val="1"/>
        <w:rPr>
          <w:rFonts w:hint="eastAsia" w:ascii="宋体" w:hAnsi="宋体" w:eastAsia="宋体" w:cs="Times New Roman"/>
          <w:b/>
          <w:sz w:val="28"/>
          <w:szCs w:val="28"/>
        </w:rPr>
      </w:pPr>
    </w:p>
    <w:p w14:paraId="4710A075">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14:paraId="746D2D2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14:paraId="469345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14:paraId="29AA0AD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14:paraId="5F55C51F">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14:paraId="175D1FF9">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14:paraId="6153A6F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14:paraId="2636DCB9">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14:paraId="542E9AA2">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14:paraId="455C869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14:paraId="4A74218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14:paraId="3895B159">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8B72025">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14:paraId="5A9B077F">
      <w:pPr>
        <w:spacing w:line="360" w:lineRule="auto"/>
        <w:ind w:firstLine="482" w:firstLineChars="200"/>
        <w:outlineLvl w:val="2"/>
        <w:rPr>
          <w:rFonts w:ascii="宋体" w:hAnsi="宋体" w:eastAsia="宋体" w:cs="Times New Roman"/>
          <w:b/>
          <w:sz w:val="24"/>
          <w:szCs w:val="24"/>
        </w:rPr>
      </w:pPr>
      <w:bookmarkStart w:id="16" w:name="_Toc101250646"/>
      <w:bookmarkStart w:id="17" w:name="_Toc101174151"/>
      <w:bookmarkStart w:id="18" w:name="_Toc101338364"/>
      <w:bookmarkStart w:id="19" w:name="_Toc430773927"/>
      <w:bookmarkStart w:id="20" w:name="_Toc209847069"/>
      <w:r>
        <w:rPr>
          <w:rFonts w:hint="eastAsia" w:ascii="宋体" w:hAnsi="宋体" w:eastAsia="宋体" w:cs="Times New Roman"/>
          <w:b/>
          <w:sz w:val="24"/>
          <w:szCs w:val="24"/>
        </w:rPr>
        <w:t>（一）签订合同</w:t>
      </w:r>
      <w:bookmarkEnd w:id="16"/>
      <w:bookmarkEnd w:id="17"/>
      <w:bookmarkEnd w:id="18"/>
      <w:bookmarkEnd w:id="19"/>
      <w:bookmarkEnd w:id="20"/>
    </w:p>
    <w:p w14:paraId="52AAE3EC">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14:paraId="3102FA5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14:paraId="2FFC276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14:paraId="71629DF9">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14:paraId="296A6DB2">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14:paraId="52F2ED89">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14:paraId="27B19AA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14:paraId="2FBB8585">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14:paraId="4D111305">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14:paraId="406BDEA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314A890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14:paraId="417F7BAB">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14:paraId="655F918A">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14:paraId="6317F45C">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14:paraId="78FDE470">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14:paraId="1A1D5E3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14:paraId="0237C1E7">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14:paraId="0D1DE2DC">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14:paraId="5D21DA8A">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14:paraId="20394B2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14:paraId="36391E3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14:paraId="2254E3A0">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14:paraId="5C332FD7">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14:paraId="00855801">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14:paraId="59F41464">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14:paraId="441EBCE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14:paraId="5B7FFD0D">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14:paraId="6C18CFB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14:paraId="7F3DE0EE">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14:paraId="374787C5">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14:paraId="69B2BD76">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14:paraId="497120DE">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14:paraId="1006D7A2">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0D401148">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11FD547A">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14:paraId="2247B42A">
      <w:pPr>
        <w:rPr>
          <w:rFonts w:ascii="宋体" w:hAnsi="宋体" w:eastAsia="宋体"/>
        </w:rPr>
      </w:pPr>
      <w:r>
        <w:rPr>
          <w:rFonts w:ascii="宋体" w:hAnsi="宋体" w:eastAsia="宋体"/>
        </w:rPr>
        <w:br w:type="page"/>
      </w:r>
    </w:p>
    <w:p w14:paraId="64B69D29">
      <w:pPr>
        <w:spacing w:line="360" w:lineRule="auto"/>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14:paraId="30C3D257">
      <w:pPr>
        <w:widowControl/>
        <w:spacing w:line="360" w:lineRule="atLeast"/>
        <w:ind w:firstLine="470" w:firstLineChars="196"/>
        <w:rPr>
          <w:rFonts w:ascii="宋体" w:hAnsi="宋体" w:eastAsia="宋体"/>
          <w:sz w:val="24"/>
        </w:rPr>
      </w:pPr>
    </w:p>
    <w:tbl>
      <w:tblPr>
        <w:tblStyle w:val="24"/>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2480"/>
        <w:gridCol w:w="5986"/>
      </w:tblGrid>
      <w:tr w14:paraId="15FA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89" w:type="pct"/>
            <w:vAlign w:val="center"/>
          </w:tcPr>
          <w:p w14:paraId="3B72A566">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0" w:type="pct"/>
            <w:vAlign w:val="center"/>
          </w:tcPr>
          <w:p w14:paraId="4D60F311">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14:paraId="29E57E0B">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14:paraId="4EAE6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89" w:type="pct"/>
            <w:vAlign w:val="center"/>
          </w:tcPr>
          <w:p w14:paraId="258E948D">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0" w:type="pct"/>
            <w:vAlign w:val="center"/>
          </w:tcPr>
          <w:p w14:paraId="2B858406">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14:paraId="6137006A">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14:paraId="5CBCDE9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14:paraId="338FBCC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14:paraId="0B9FE08F">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14:paraId="1511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89" w:type="pct"/>
            <w:vAlign w:val="center"/>
          </w:tcPr>
          <w:p w14:paraId="21AC282B">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0" w:type="pct"/>
            <w:vAlign w:val="center"/>
          </w:tcPr>
          <w:p w14:paraId="2E62656D">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14:paraId="046C9E8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14:paraId="57F95F69">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（1）可提供2022或2023年度经审计的财务报告复印件（包含审计报告和审计报告中所涉及的财务报表和报表附注）；</w:t>
            </w:r>
          </w:p>
          <w:p w14:paraId="708C1374">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（2）也可提供申请人内部的2022或2023年度财务报表复印件（至少包含资产负债表）；</w:t>
            </w:r>
          </w:p>
          <w:p w14:paraId="0C329776">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14:paraId="3CD174EC">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（4）申请人注册时间截至提交首次比选申请文件截止日不足一年的，也可提供工商管理部门备案的章程（复印件）；</w:t>
            </w:r>
          </w:p>
          <w:p w14:paraId="11DDBBF1">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14:paraId="4166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1C90E3B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0" w:type="pct"/>
            <w:vAlign w:val="center"/>
          </w:tcPr>
          <w:p w14:paraId="3CDCA13E">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14:paraId="0D0EFC1C">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14:paraId="207A4D81">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14:paraId="42DA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60A0805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0" w:type="pct"/>
            <w:vAlign w:val="center"/>
          </w:tcPr>
          <w:p w14:paraId="013203A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14:paraId="46F74E79">
            <w:pPr>
              <w:adjustRightInd w:val="0"/>
              <w:spacing w:line="240" w:lineRule="exact"/>
              <w:rPr>
                <w:rFonts w:ascii="宋体" w:hAnsi="宋体" w:eastAsia="宋体" w:cs="Times New Roman"/>
                <w:bCs/>
                <w:kern w:val="0"/>
                <w:szCs w:val="21"/>
              </w:rPr>
            </w:pPr>
          </w:p>
        </w:tc>
      </w:tr>
      <w:tr w14:paraId="4FDAF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89" w:type="pct"/>
            <w:vAlign w:val="center"/>
          </w:tcPr>
          <w:p w14:paraId="231119F6">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0" w:type="pct"/>
            <w:vAlign w:val="center"/>
          </w:tcPr>
          <w:p w14:paraId="7AA0533B">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14:paraId="5CEFC936">
            <w:pPr>
              <w:adjustRightInd w:val="0"/>
              <w:spacing w:line="240" w:lineRule="exact"/>
              <w:rPr>
                <w:rFonts w:ascii="宋体" w:hAnsi="宋体" w:eastAsia="宋体" w:cs="Times New Roman"/>
                <w:bCs/>
                <w:kern w:val="0"/>
                <w:szCs w:val="21"/>
              </w:rPr>
            </w:pPr>
          </w:p>
        </w:tc>
      </w:tr>
      <w:tr w14:paraId="44D9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89" w:type="pct"/>
            <w:vAlign w:val="center"/>
          </w:tcPr>
          <w:p w14:paraId="6B32376A">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0" w:type="pct"/>
            <w:vAlign w:val="center"/>
          </w:tcPr>
          <w:p w14:paraId="4D8F8BB5">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14:paraId="036FBF0F">
            <w:pPr>
              <w:adjustRightInd w:val="0"/>
              <w:spacing w:line="240" w:lineRule="exact"/>
              <w:rPr>
                <w:rFonts w:ascii="宋体" w:hAnsi="宋体" w:eastAsia="宋体" w:cs="Times New Roman"/>
                <w:bCs/>
                <w:kern w:val="0"/>
                <w:szCs w:val="21"/>
              </w:rPr>
            </w:pPr>
          </w:p>
        </w:tc>
      </w:tr>
      <w:tr w14:paraId="30B6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3A7FD53F">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0" w:type="pct"/>
            <w:vAlign w:val="center"/>
          </w:tcPr>
          <w:p w14:paraId="6101C463">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14:paraId="2ED1C402">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14:paraId="6B053F3C">
            <w:pPr>
              <w:adjustRightInd w:val="0"/>
              <w:spacing w:line="360" w:lineRule="exact"/>
              <w:rPr>
                <w:rFonts w:hint="eastAsia" w:ascii="宋体" w:hAnsi="宋体" w:eastAsia="宋体" w:cs="Times New Roman"/>
                <w:bCs/>
                <w:kern w:val="0"/>
                <w:szCs w:val="21"/>
                <w:lang w:eastAsia="zh-CN"/>
              </w:rPr>
            </w:pPr>
            <w:r>
              <w:rPr>
                <w:rFonts w:hint="eastAsia" w:ascii="宋体" w:hAnsi="宋体" w:eastAsia="宋体" w:cs="Times New Roman"/>
                <w:bCs/>
                <w:kern w:val="0"/>
                <w:szCs w:val="21"/>
              </w:rPr>
              <w:t>（2）法定代表人/单位负责人参与比选时只须提供法定代表人/单位负责人身份证复印件</w:t>
            </w:r>
            <w:r>
              <w:rPr>
                <w:rFonts w:hint="eastAsia" w:ascii="宋体" w:hAnsi="宋体" w:eastAsia="宋体" w:cs="Times New Roman"/>
                <w:bCs/>
                <w:kern w:val="0"/>
                <w:szCs w:val="21"/>
                <w:lang w:eastAsia="zh-CN"/>
              </w:rPr>
              <w:t>；</w:t>
            </w:r>
          </w:p>
        </w:tc>
      </w:tr>
      <w:tr w14:paraId="6BD11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9" w:type="pct"/>
            <w:vAlign w:val="center"/>
          </w:tcPr>
          <w:p w14:paraId="09941365">
            <w:pPr>
              <w:spacing w:line="360" w:lineRule="exact"/>
              <w:jc w:val="center"/>
              <w:rPr>
                <w:rFonts w:hint="eastAsia" w:ascii="宋体" w:hAnsi="宋体" w:eastAsia="宋体" w:cs="Times New Roman"/>
                <w:b/>
                <w:color w:val="000000" w:themeColor="text1"/>
                <w:kern w:val="0"/>
                <w:szCs w:val="21"/>
                <w:lang w:val="en-US" w:eastAsia="zh-CN"/>
                <w14:textFill>
                  <w14:solidFill>
                    <w14:schemeClr w14:val="tx1"/>
                  </w14:solidFill>
                </w14:textFill>
              </w:rPr>
            </w:pPr>
            <w:r>
              <w:rPr>
                <w:rFonts w:hint="eastAsia" w:ascii="宋体" w:hAnsi="宋体" w:eastAsia="宋体" w:cs="Times New Roman"/>
                <w:b/>
                <w:color w:val="000000" w:themeColor="text1"/>
                <w:kern w:val="0"/>
                <w:szCs w:val="21"/>
                <w:lang w:val="en-US" w:eastAsia="zh-CN"/>
                <w14:textFill>
                  <w14:solidFill>
                    <w14:schemeClr w14:val="tx1"/>
                  </w14:solidFill>
                </w14:textFill>
              </w:rPr>
              <w:t>8</w:t>
            </w:r>
          </w:p>
        </w:tc>
        <w:tc>
          <w:tcPr>
            <w:tcW w:w="1350" w:type="pct"/>
            <w:vAlign w:val="center"/>
          </w:tcPr>
          <w:p w14:paraId="5EDCF941">
            <w:pPr>
              <w:spacing w:line="360" w:lineRule="exact"/>
              <w:jc w:val="center"/>
              <w:rPr>
                <w:rFonts w:hint="default" w:ascii="宋体" w:hAnsi="宋体" w:eastAsia="宋体" w:cs="Times New Roman"/>
                <w:b/>
                <w:color w:val="000000" w:themeColor="text1"/>
                <w:kern w:val="0"/>
                <w:szCs w:val="21"/>
                <w:lang w:val="en-US" w:eastAsia="zh-CN"/>
                <w14:textFill>
                  <w14:solidFill>
                    <w14:schemeClr w14:val="tx1"/>
                  </w14:solidFill>
                </w14:textFill>
              </w:rPr>
            </w:pPr>
            <w:r>
              <w:rPr>
                <w:rFonts w:hint="eastAsia" w:ascii="宋体" w:hAnsi="宋体" w:eastAsia="宋体" w:cs="Times New Roman"/>
                <w:b/>
                <w:color w:val="000000" w:themeColor="text1"/>
                <w:kern w:val="0"/>
                <w:szCs w:val="21"/>
                <w:lang w:val="en-US" w:eastAsia="zh-CN"/>
                <w14:textFill>
                  <w14:solidFill>
                    <w14:schemeClr w14:val="tx1"/>
                  </w14:solidFill>
                </w14:textFill>
              </w:rPr>
              <w:t>针对本项目提出的特殊资质要求</w:t>
            </w:r>
          </w:p>
        </w:tc>
        <w:tc>
          <w:tcPr>
            <w:tcW w:w="3259" w:type="pct"/>
            <w:vAlign w:val="center"/>
          </w:tcPr>
          <w:p w14:paraId="7E638823">
            <w:pPr>
              <w:adjustRightInd w:val="0"/>
              <w:spacing w:line="360" w:lineRule="exact"/>
              <w:rPr>
                <w:rFonts w:hint="default" w:ascii="宋体" w:hAnsi="宋体" w:eastAsia="宋体" w:cs="Times New Roman"/>
                <w:bCs/>
                <w:kern w:val="0"/>
                <w:szCs w:val="21"/>
                <w:lang w:val="en-US" w:eastAsia="zh-CN"/>
              </w:rPr>
            </w:pPr>
            <w:r>
              <w:rPr>
                <w:rFonts w:hint="eastAsia" w:ascii="宋体" w:hAnsi="宋体" w:eastAsia="宋体" w:cs="Times New Roman"/>
                <w:bCs/>
                <w:kern w:val="0"/>
                <w:szCs w:val="21"/>
              </w:rPr>
              <w:t>本项目的特定资格要求：供应商须具有国家卫生行政部门颁发的有效的《医疗机构执业许可证》、《辐射安全许可证》、《放射诊疗许可证》，如已办理多证合一的，须提供《辐射安全许可证》及诊疗科目含医学影像科的《医疗机构执业许可证》。</w:t>
            </w:r>
          </w:p>
          <w:p w14:paraId="0E80E186">
            <w:pPr>
              <w:adjustRightInd/>
              <w:spacing w:line="360" w:lineRule="auto"/>
              <w:ind w:firstLine="0" w:firstLineChars="0"/>
              <w:jc w:val="left"/>
              <w:rPr>
                <w:rFonts w:hint="default" w:ascii="宋体" w:hAnsi="宋体" w:eastAsia="宋体" w:cs="Times New Roman"/>
                <w:sz w:val="21"/>
                <w:szCs w:val="21"/>
                <w:rtl w:val="0"/>
                <w:lang w:val="en-US" w:eastAsia="zh-CN"/>
              </w:rPr>
            </w:pPr>
          </w:p>
        </w:tc>
      </w:tr>
    </w:tbl>
    <w:p w14:paraId="75100E8D">
      <w:pPr>
        <w:rPr>
          <w:rFonts w:ascii="宋体" w:hAnsi="宋体" w:eastAsia="宋体"/>
        </w:rPr>
      </w:pPr>
    </w:p>
    <w:p w14:paraId="4E8BC9C6">
      <w:pPr>
        <w:rPr>
          <w:rFonts w:ascii="宋体" w:hAnsi="宋体" w:eastAsia="宋体"/>
        </w:rPr>
      </w:pPr>
    </w:p>
    <w:p w14:paraId="638D2395">
      <w:pPr>
        <w:rPr>
          <w:rFonts w:ascii="宋体" w:hAnsi="宋体" w:eastAsia="宋体"/>
        </w:rPr>
      </w:pPr>
    </w:p>
    <w:p w14:paraId="0D5E990C">
      <w:pPr>
        <w:rPr>
          <w:rFonts w:ascii="宋体" w:hAnsi="宋体" w:eastAsia="宋体"/>
        </w:rPr>
      </w:pPr>
    </w:p>
    <w:p w14:paraId="61E672D8">
      <w:pPr>
        <w:rPr>
          <w:rFonts w:ascii="宋体" w:hAnsi="宋体" w:eastAsia="宋体"/>
        </w:rPr>
      </w:pPr>
    </w:p>
    <w:p w14:paraId="540ABDD3">
      <w:pPr>
        <w:rPr>
          <w:rFonts w:ascii="宋体" w:hAnsi="宋体" w:eastAsia="宋体"/>
        </w:rPr>
      </w:pPr>
    </w:p>
    <w:p w14:paraId="611638F3">
      <w:pPr>
        <w:rPr>
          <w:rFonts w:ascii="宋体" w:hAnsi="宋体" w:eastAsia="宋体"/>
        </w:rPr>
      </w:pPr>
    </w:p>
    <w:p w14:paraId="6F9E8581">
      <w:pPr>
        <w:rPr>
          <w:rFonts w:ascii="宋体" w:hAnsi="宋体" w:eastAsia="宋体"/>
        </w:rPr>
      </w:pPr>
    </w:p>
    <w:p w14:paraId="6DA5CE46">
      <w:pPr>
        <w:rPr>
          <w:rFonts w:ascii="宋体" w:hAnsi="宋体" w:eastAsia="宋体"/>
        </w:rPr>
      </w:pPr>
    </w:p>
    <w:p w14:paraId="4C40A719">
      <w:pPr>
        <w:rPr>
          <w:rFonts w:ascii="宋体" w:hAnsi="宋体" w:eastAsia="宋体"/>
        </w:rPr>
      </w:pPr>
    </w:p>
    <w:p w14:paraId="4E5CDB80">
      <w:pPr>
        <w:rPr>
          <w:rFonts w:ascii="宋体" w:hAnsi="宋体" w:eastAsia="宋体"/>
        </w:rPr>
      </w:pPr>
    </w:p>
    <w:p w14:paraId="44CAEDF7">
      <w:pPr>
        <w:rPr>
          <w:rFonts w:ascii="宋体" w:hAnsi="宋体" w:eastAsia="宋体"/>
        </w:rPr>
      </w:pPr>
    </w:p>
    <w:p w14:paraId="2D41F1A0">
      <w:pPr>
        <w:rPr>
          <w:rFonts w:ascii="宋体" w:hAnsi="宋体" w:eastAsia="宋体"/>
        </w:rPr>
      </w:pPr>
    </w:p>
    <w:p w14:paraId="1300C3A0">
      <w:pPr>
        <w:rPr>
          <w:rFonts w:ascii="宋体" w:hAnsi="宋体" w:eastAsia="宋体"/>
        </w:rPr>
      </w:pPr>
    </w:p>
    <w:p w14:paraId="15DA10FE">
      <w:pPr>
        <w:rPr>
          <w:rFonts w:ascii="宋体" w:hAnsi="宋体" w:eastAsia="宋体"/>
        </w:rPr>
      </w:pPr>
    </w:p>
    <w:p w14:paraId="47F61419">
      <w:pPr>
        <w:rPr>
          <w:rFonts w:ascii="宋体" w:hAnsi="宋体" w:eastAsia="宋体"/>
        </w:rPr>
      </w:pPr>
    </w:p>
    <w:p w14:paraId="69DA0123">
      <w:pPr>
        <w:rPr>
          <w:rFonts w:ascii="宋体" w:hAnsi="宋体" w:eastAsia="宋体"/>
        </w:rPr>
      </w:pPr>
    </w:p>
    <w:p w14:paraId="744EE112">
      <w:pPr>
        <w:rPr>
          <w:rFonts w:ascii="宋体" w:hAnsi="宋体" w:eastAsia="宋体"/>
        </w:rPr>
      </w:pPr>
    </w:p>
    <w:p w14:paraId="7CC95CC9">
      <w:pPr>
        <w:rPr>
          <w:rFonts w:ascii="宋体" w:hAnsi="宋体" w:eastAsia="宋体"/>
        </w:rPr>
      </w:pPr>
    </w:p>
    <w:p w14:paraId="257A4C27">
      <w:pPr>
        <w:rPr>
          <w:rFonts w:ascii="宋体" w:hAnsi="宋体" w:eastAsia="宋体"/>
        </w:rPr>
      </w:pPr>
    </w:p>
    <w:p w14:paraId="4319E84D">
      <w:pPr>
        <w:rPr>
          <w:rFonts w:ascii="宋体" w:hAnsi="宋体" w:eastAsia="宋体"/>
        </w:rPr>
      </w:pPr>
    </w:p>
    <w:p w14:paraId="0C8AA5F2">
      <w:pPr>
        <w:rPr>
          <w:rFonts w:ascii="宋体" w:hAnsi="宋体" w:eastAsia="宋体"/>
        </w:rPr>
      </w:pPr>
    </w:p>
    <w:p w14:paraId="72F54A34">
      <w:pPr>
        <w:rPr>
          <w:rFonts w:ascii="宋体" w:hAnsi="宋体" w:eastAsia="宋体"/>
        </w:rPr>
      </w:pPr>
    </w:p>
    <w:p w14:paraId="1A2F033E">
      <w:pPr>
        <w:rPr>
          <w:rFonts w:ascii="宋体" w:hAnsi="宋体" w:eastAsia="宋体"/>
        </w:rPr>
      </w:pPr>
    </w:p>
    <w:p w14:paraId="7362F653">
      <w:pPr>
        <w:rPr>
          <w:rFonts w:ascii="宋体" w:hAnsi="宋体" w:eastAsia="宋体"/>
        </w:rPr>
      </w:pPr>
    </w:p>
    <w:p w14:paraId="158C0DBE">
      <w:pPr>
        <w:rPr>
          <w:rFonts w:ascii="宋体" w:hAnsi="宋体" w:eastAsia="宋体"/>
        </w:rPr>
      </w:pPr>
    </w:p>
    <w:p w14:paraId="6CB8DBD3">
      <w:pPr>
        <w:rPr>
          <w:rFonts w:ascii="宋体" w:hAnsi="宋体" w:eastAsia="宋体"/>
        </w:rPr>
      </w:pPr>
    </w:p>
    <w:p w14:paraId="5FFA4B8B">
      <w:pPr>
        <w:rPr>
          <w:rFonts w:ascii="宋体" w:hAnsi="宋体" w:eastAsia="宋体"/>
        </w:rPr>
      </w:pPr>
    </w:p>
    <w:p w14:paraId="4F1ABE70">
      <w:pPr>
        <w:rPr>
          <w:rFonts w:ascii="宋体" w:hAnsi="宋体" w:eastAsia="宋体"/>
        </w:rPr>
      </w:pPr>
    </w:p>
    <w:p w14:paraId="156BCA23">
      <w:pPr>
        <w:rPr>
          <w:rFonts w:ascii="宋体" w:hAnsi="宋体" w:eastAsia="宋体"/>
        </w:rPr>
      </w:pPr>
    </w:p>
    <w:p w14:paraId="0CE63DCD">
      <w:pPr>
        <w:rPr>
          <w:rFonts w:ascii="宋体" w:hAnsi="宋体" w:eastAsia="宋体"/>
        </w:rPr>
      </w:pPr>
    </w:p>
    <w:p w14:paraId="5B9E6985">
      <w:pPr>
        <w:rPr>
          <w:rFonts w:ascii="宋体" w:hAnsi="宋体" w:eastAsia="宋体"/>
        </w:rPr>
      </w:pPr>
    </w:p>
    <w:p w14:paraId="1E17A5A8">
      <w:pPr>
        <w:rPr>
          <w:rFonts w:ascii="宋体" w:hAnsi="宋体" w:eastAsia="宋体"/>
        </w:rPr>
      </w:pPr>
    </w:p>
    <w:p w14:paraId="1024DA6A">
      <w:pPr>
        <w:rPr>
          <w:rFonts w:ascii="宋体" w:hAnsi="宋体" w:eastAsia="宋体"/>
        </w:rPr>
      </w:pPr>
    </w:p>
    <w:p w14:paraId="7DB644CB">
      <w:pPr>
        <w:rPr>
          <w:rFonts w:ascii="宋体" w:hAnsi="宋体" w:eastAsia="宋体"/>
        </w:rPr>
      </w:pPr>
    </w:p>
    <w:p w14:paraId="4429BC3F">
      <w:pPr>
        <w:rPr>
          <w:rFonts w:ascii="宋体" w:hAnsi="宋体" w:eastAsia="宋体"/>
        </w:rPr>
      </w:pPr>
    </w:p>
    <w:p w14:paraId="30DF6A8A">
      <w:pPr>
        <w:pStyle w:val="2"/>
        <w:spacing w:before="0" w:after="0" w:line="240" w:lineRule="auto"/>
        <w:jc w:val="center"/>
        <w:rPr>
          <w:rFonts w:ascii="宋体" w:hAnsi="宋体" w:eastAsia="宋体"/>
          <w:bCs w:val="0"/>
          <w:color w:val="000000"/>
          <w:kern w:val="2"/>
          <w:sz w:val="36"/>
          <w:szCs w:val="36"/>
        </w:rPr>
      </w:pPr>
      <w:bookmarkStart w:id="22" w:name="_Toc13420"/>
      <w:bookmarkStart w:id="23" w:name="_Toc23416"/>
      <w:bookmarkStart w:id="24" w:name="_Toc22092"/>
      <w:bookmarkStart w:id="25" w:name="_Toc18798"/>
    </w:p>
    <w:p w14:paraId="417D477D">
      <w:pPr>
        <w:rPr>
          <w:rFonts w:ascii="宋体" w:hAnsi="宋体" w:eastAsia="宋体"/>
          <w:bCs w:val="0"/>
          <w:color w:val="000000"/>
          <w:kern w:val="2"/>
          <w:sz w:val="36"/>
          <w:szCs w:val="36"/>
        </w:rPr>
      </w:pPr>
      <w:r>
        <w:rPr>
          <w:rFonts w:ascii="宋体" w:hAnsi="宋体" w:eastAsia="宋体"/>
          <w:bCs w:val="0"/>
          <w:color w:val="000000"/>
          <w:kern w:val="2"/>
          <w:sz w:val="36"/>
          <w:szCs w:val="36"/>
        </w:rPr>
        <w:br w:type="page"/>
      </w:r>
    </w:p>
    <w:p w14:paraId="012549B5">
      <w:pPr>
        <w:pStyle w:val="2"/>
        <w:spacing w:before="0" w:after="0" w:line="240" w:lineRule="auto"/>
        <w:ind w:firstLine="2530" w:firstLineChars="700"/>
        <w:jc w:val="both"/>
        <w:rPr>
          <w:rFonts w:ascii="宋体" w:hAnsi="宋体" w:eastAsia="宋体"/>
          <w:bCs w:val="0"/>
          <w:color w:val="000000"/>
          <w:kern w:val="2"/>
          <w:sz w:val="36"/>
          <w:szCs w:val="36"/>
        </w:rPr>
      </w:pPr>
      <w:r>
        <w:rPr>
          <w:rFonts w:ascii="宋体" w:hAnsi="宋体" w:eastAsia="宋体"/>
          <w:bCs w:val="0"/>
          <w:color w:val="000000"/>
          <w:kern w:val="2"/>
          <w:sz w:val="36"/>
          <w:szCs w:val="36"/>
        </w:rPr>
        <w:t xml:space="preserve">第四章 </w:t>
      </w:r>
      <w:bookmarkEnd w:id="22"/>
      <w:bookmarkEnd w:id="23"/>
      <w:r>
        <w:rPr>
          <w:rFonts w:hint="eastAsia" w:ascii="宋体" w:hAnsi="宋体" w:eastAsia="宋体"/>
          <w:bCs w:val="0"/>
          <w:color w:val="000000"/>
          <w:kern w:val="2"/>
          <w:sz w:val="36"/>
          <w:szCs w:val="36"/>
        </w:rPr>
        <w:t>比选内容及要求</w:t>
      </w:r>
      <w:bookmarkEnd w:id="24"/>
      <w:bookmarkStart w:id="26" w:name="_Toc31717"/>
    </w:p>
    <w:p w14:paraId="2E152AFA">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一、项目概述</w:t>
      </w:r>
    </w:p>
    <w:p w14:paraId="30B7EDF1">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职工体检系我校每年均要开展的常规工作，本次采购四川铁道职业学院内江校区2024年教职工体检服务，将选择确定一家医院为成交供应商。</w:t>
      </w:r>
    </w:p>
    <w:p w14:paraId="22FE560B">
      <w:pPr>
        <w:numPr>
          <w:ilvl w:val="0"/>
          <w:numId w:val="0"/>
        </w:numPr>
        <w:spacing w:line="360" w:lineRule="auto"/>
        <w:jc w:val="left"/>
        <w:rPr>
          <w:rFonts w:hint="eastAsia" w:ascii="宋体" w:hAnsi="宋体" w:eastAsia="宋体" w:cs="仿宋"/>
          <w:b/>
          <w:bCs/>
          <w:sz w:val="28"/>
          <w:szCs w:val="24"/>
          <w:lang w:val="zh-CN"/>
        </w:rPr>
      </w:pPr>
      <w:r>
        <w:rPr>
          <w:rFonts w:hint="eastAsia" w:ascii="宋体" w:hAnsi="宋体" w:eastAsia="宋体" w:cs="仿宋"/>
          <w:b/>
          <w:bCs/>
          <w:sz w:val="28"/>
          <w:szCs w:val="24"/>
          <w:lang w:val="zh-CN"/>
        </w:rPr>
        <w:t>二、服务要求</w:t>
      </w:r>
    </w:p>
    <w:p w14:paraId="6DAC374B">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1.</w:t>
      </w:r>
      <w:r>
        <w:rPr>
          <w:rFonts w:hint="eastAsia" w:ascii="宋体" w:hAnsi="宋体" w:eastAsia="宋体" w:cs="Times New Roman"/>
          <w:sz w:val="24"/>
          <w:szCs w:val="24"/>
          <w:lang w:val="zh-TW" w:eastAsia="zh-TW"/>
        </w:rPr>
        <w:t>体检日程安排应充分考虑受检人教师的工作特点，提前沟通、衔接，以便于教师调课、上课，以及体检接送安排。</w:t>
      </w:r>
    </w:p>
    <w:p w14:paraId="340F55BD">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2.</w:t>
      </w:r>
      <w:r>
        <w:rPr>
          <w:rFonts w:hint="eastAsia" w:ascii="宋体" w:hAnsi="宋体" w:eastAsia="宋体" w:cs="Times New Roman"/>
          <w:sz w:val="24"/>
          <w:szCs w:val="24"/>
          <w:lang w:val="zh-TW" w:eastAsia="zh-TW"/>
        </w:rPr>
        <w:t>所检项目无遗漏，重要指标检出异常严重情况时，应在24小时内通知采购方联系人及本人，并尽快安排进行复查。</w:t>
      </w:r>
    </w:p>
    <w:p w14:paraId="13B6B427">
      <w:pPr>
        <w:spacing w:line="360" w:lineRule="auto"/>
        <w:ind w:firstLine="480" w:firstLineChars="200"/>
        <w:rPr>
          <w:rFonts w:hint="eastAsia" w:ascii="宋体" w:hAnsi="宋体" w:eastAsia="宋体" w:cs="Times New Roman"/>
          <w:sz w:val="24"/>
          <w:szCs w:val="24"/>
          <w:lang w:val="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3.</w:t>
      </w:r>
      <w:r>
        <w:rPr>
          <w:rFonts w:hint="eastAsia" w:ascii="宋体" w:hAnsi="宋体" w:eastAsia="宋体" w:cs="Times New Roman"/>
          <w:sz w:val="24"/>
          <w:szCs w:val="24"/>
          <w:lang w:val="zh-TW" w:eastAsia="zh-TW"/>
        </w:rPr>
        <w:t>发现重大疾病，12小时内通知，并视情况安排在三甲医院或以上挂号、预约、住院及就医等绿色通道服务。</w:t>
      </w:r>
    </w:p>
    <w:p w14:paraId="525A5733">
      <w:pPr>
        <w:spacing w:line="360" w:lineRule="auto"/>
        <w:ind w:firstLine="480" w:firstLineChars="200"/>
        <w:rPr>
          <w:rFonts w:hint="eastAsia" w:ascii="宋体" w:hAnsi="宋体" w:eastAsia="宋体" w:cs="Times New Roman"/>
          <w:sz w:val="24"/>
          <w:szCs w:val="24"/>
          <w:lang w:val="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4.</w:t>
      </w:r>
      <w:r>
        <w:rPr>
          <w:rFonts w:hint="eastAsia" w:ascii="宋体" w:hAnsi="宋体" w:eastAsia="宋体" w:cs="Times New Roman"/>
          <w:sz w:val="24"/>
          <w:szCs w:val="24"/>
          <w:lang w:val="zh-TW" w:eastAsia="zh-TW"/>
        </w:rPr>
        <w:t>体检项目</w:t>
      </w:r>
      <w:r>
        <w:rPr>
          <w:rFonts w:hint="eastAsia" w:ascii="宋体" w:hAnsi="宋体" w:eastAsia="宋体" w:cs="Times New Roman"/>
          <w:sz w:val="24"/>
          <w:szCs w:val="24"/>
          <w:lang w:val="zh-TW"/>
        </w:rPr>
        <w:t>参检人员可根据自身健康状况进行调整，若超出费用由参检人员自费。</w:t>
      </w:r>
    </w:p>
    <w:p w14:paraId="63022D4A">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5.</w:t>
      </w:r>
      <w:r>
        <w:rPr>
          <w:rFonts w:hint="eastAsia" w:ascii="宋体" w:hAnsi="宋体" w:eastAsia="宋体" w:cs="Times New Roman"/>
          <w:sz w:val="24"/>
          <w:szCs w:val="24"/>
          <w:lang w:val="zh-TW" w:eastAsia="zh-TW"/>
        </w:rPr>
        <w:t>体检报告（个人的、单位的报告）除进行常规的数据分析外，应提供相应的保健知识，以及个性化的健康促进计划，并针对性地提供后续讲座或培训等活动。</w:t>
      </w:r>
    </w:p>
    <w:p w14:paraId="2858AC09">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6.</w:t>
      </w:r>
      <w:r>
        <w:rPr>
          <w:rFonts w:hint="eastAsia" w:ascii="宋体" w:hAnsi="宋体" w:eastAsia="宋体" w:cs="Times New Roman"/>
          <w:sz w:val="24"/>
          <w:szCs w:val="24"/>
          <w:lang w:val="zh-TW" w:eastAsia="zh-TW"/>
        </w:rPr>
        <w:t>体检结束后，供应商需为受检者做一次或以上体检结果解读和健康辅导。</w:t>
      </w:r>
    </w:p>
    <w:p w14:paraId="3BB234B1">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7.</w:t>
      </w:r>
      <w:r>
        <w:rPr>
          <w:rFonts w:hint="eastAsia" w:ascii="宋体" w:hAnsi="宋体" w:eastAsia="宋体" w:cs="Times New Roman"/>
          <w:sz w:val="24"/>
          <w:szCs w:val="24"/>
          <w:lang w:val="zh-TW" w:eastAsia="zh-TW"/>
        </w:rPr>
        <w:t>供应商在收到采购人全部体检金额三个工作日内，向采购人送达体检报告（报告类型分为纸质和电子版本，纸质版体检报告应当密封完好）。</w:t>
      </w:r>
    </w:p>
    <w:p w14:paraId="3CEC922F">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8.</w:t>
      </w:r>
      <w:r>
        <w:rPr>
          <w:rFonts w:hint="eastAsia" w:ascii="宋体" w:hAnsi="宋体" w:eastAsia="宋体" w:cs="Times New Roman"/>
          <w:sz w:val="24"/>
          <w:szCs w:val="24"/>
          <w:lang w:val="zh-TW" w:eastAsia="zh-TW"/>
        </w:rPr>
        <w:t>服务质量要求：供应商承诺保证向采购人提供专场体检时间，不得与其他单位交叉，每天的体检人数应控制在适当的范围内，以确保服务流程顺畅，保障对每一名受检人员的体检服务质量。（提供承诺函，格式自拟）</w:t>
      </w:r>
    </w:p>
    <w:p w14:paraId="1C56F074">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9.</w:t>
      </w:r>
      <w:r>
        <w:rPr>
          <w:rFonts w:hint="eastAsia" w:ascii="宋体" w:hAnsi="宋体" w:eastAsia="宋体" w:cs="Times New Roman"/>
          <w:sz w:val="24"/>
          <w:szCs w:val="24"/>
          <w:lang w:val="zh-TW" w:eastAsia="zh-TW"/>
        </w:rPr>
        <w:t>尽可能能提供体检专场，体检需安排专车往返接送全部参检人员。</w:t>
      </w:r>
    </w:p>
    <w:p w14:paraId="392FEECF">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10.</w:t>
      </w:r>
      <w:r>
        <w:rPr>
          <w:rFonts w:hint="eastAsia" w:ascii="宋体" w:hAnsi="宋体" w:eastAsia="宋体" w:cs="Times New Roman"/>
          <w:sz w:val="24"/>
          <w:szCs w:val="24"/>
          <w:lang w:val="zh-TW" w:eastAsia="zh-TW"/>
        </w:rPr>
        <w:t>教职工家属享受同等体检折扣。</w:t>
      </w:r>
    </w:p>
    <w:p w14:paraId="62D9C0F5">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11.</w:t>
      </w:r>
      <w:r>
        <w:rPr>
          <w:rFonts w:hint="eastAsia" w:ascii="宋体" w:hAnsi="宋体" w:eastAsia="宋体" w:cs="Times New Roman"/>
          <w:sz w:val="24"/>
          <w:szCs w:val="24"/>
          <w:lang w:val="zh-TW" w:eastAsia="zh-TW"/>
        </w:rPr>
        <w:t>保障能力要求：</w:t>
      </w:r>
    </w:p>
    <w:p w14:paraId="2211D1FF">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11.1</w:t>
      </w:r>
      <w:r>
        <w:rPr>
          <w:rFonts w:hint="eastAsia" w:ascii="宋体" w:hAnsi="宋体" w:eastAsia="宋体" w:cs="Times New Roman"/>
          <w:sz w:val="24"/>
          <w:szCs w:val="24"/>
          <w:lang w:val="zh-TW" w:eastAsia="zh-TW"/>
        </w:rPr>
        <w:t>有独立的体检中心或体检场所（不接受体检车或临时搭建场所体检）。</w:t>
      </w:r>
    </w:p>
    <w:p w14:paraId="19AF6D36">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11.2</w:t>
      </w:r>
      <w:r>
        <w:rPr>
          <w:rFonts w:hint="eastAsia" w:ascii="宋体" w:hAnsi="宋体" w:eastAsia="宋体" w:cs="Times New Roman"/>
          <w:sz w:val="24"/>
          <w:szCs w:val="24"/>
          <w:lang w:val="zh-TW" w:eastAsia="zh-TW"/>
        </w:rPr>
        <w:t>供应商应保证体检日的体检安排在上午进行（根据采购人安排，若有特殊情况可安排在下午）。</w:t>
      </w:r>
    </w:p>
    <w:p w14:paraId="29390512">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11.</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lang w:val="zh-TW" w:eastAsia="zh-TW"/>
        </w:rPr>
        <w:t>供应商应根据采购人需求协调安排体检时间，并保证体检的工作顺利开展。体检人员因工作原因未能参加体检，供应商须为其安排补检时间。</w:t>
      </w:r>
    </w:p>
    <w:p w14:paraId="7989A0EE">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11.</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lang w:val="zh-TW" w:eastAsia="zh-TW"/>
        </w:rPr>
        <w:t>确保体检人员在每一个环节的隐私保护；按照采购人提供的体检人员名单进行体检，认真核对受检者身份（要求出具身份证），不能出现冒名顶替现象。</w:t>
      </w:r>
    </w:p>
    <w:p w14:paraId="56BB8411">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12.</w:t>
      </w:r>
      <w:r>
        <w:rPr>
          <w:rFonts w:hint="eastAsia" w:ascii="宋体" w:hAnsi="宋体" w:eastAsia="宋体" w:cs="Times New Roman"/>
          <w:sz w:val="24"/>
          <w:szCs w:val="24"/>
          <w:lang w:val="zh-TW" w:eastAsia="zh-TW"/>
        </w:rPr>
        <w:t>基本主要体检设备配置要求：</w:t>
      </w:r>
    </w:p>
    <w:p w14:paraId="5EF30544">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12.1</w:t>
      </w:r>
      <w:r>
        <w:rPr>
          <w:rFonts w:hint="eastAsia" w:ascii="宋体" w:hAnsi="宋体" w:eastAsia="宋体" w:cs="Times New Roman"/>
          <w:sz w:val="24"/>
          <w:szCs w:val="24"/>
          <w:lang w:val="zh-TW" w:eastAsia="zh-TW"/>
        </w:rPr>
        <w:t>供应商须为本项目配备符合国家医疗标准的设备：彩超</w:t>
      </w:r>
      <w:r>
        <w:rPr>
          <w:rFonts w:hint="eastAsia" w:ascii="宋体" w:hAnsi="宋体" w:eastAsia="宋体" w:cs="Times New Roman"/>
          <w:sz w:val="24"/>
          <w:szCs w:val="24"/>
          <w:lang w:val="zh-TW"/>
        </w:rPr>
        <w:t>3</w:t>
      </w:r>
      <w:r>
        <w:rPr>
          <w:rFonts w:hint="eastAsia" w:ascii="宋体" w:hAnsi="宋体" w:eastAsia="宋体" w:cs="Times New Roman"/>
          <w:sz w:val="24"/>
          <w:szCs w:val="24"/>
          <w:lang w:val="zh-TW" w:eastAsia="zh-TW"/>
        </w:rPr>
        <w:t>台，CT仪1台。</w:t>
      </w:r>
    </w:p>
    <w:p w14:paraId="75A525A5">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12.2</w:t>
      </w:r>
      <w:r>
        <w:rPr>
          <w:rFonts w:hint="eastAsia" w:ascii="宋体" w:hAnsi="宋体" w:eastAsia="宋体" w:cs="Times New Roman"/>
          <w:sz w:val="24"/>
          <w:szCs w:val="24"/>
          <w:lang w:val="zh-TW" w:eastAsia="zh-TW"/>
        </w:rPr>
        <w:t>重要体检项目（生化检查、彩超检查、CT放射检查等）所使用的设备要求采用专业设备。</w:t>
      </w:r>
    </w:p>
    <w:p w14:paraId="7963AEBE">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12.3</w:t>
      </w:r>
      <w:r>
        <w:rPr>
          <w:rFonts w:hint="eastAsia" w:ascii="宋体" w:hAnsi="宋体" w:eastAsia="宋体" w:cs="Times New Roman"/>
          <w:sz w:val="24"/>
          <w:szCs w:val="24"/>
          <w:lang w:val="zh-TW" w:eastAsia="zh-TW"/>
        </w:rPr>
        <w:t>本项目所需的医疗检查设备与检验仪器的种类、数量、性能、量程、精度能满足工作需要，并能良好运行，定期校验，仪器设备有完整的操作规程。</w:t>
      </w:r>
    </w:p>
    <w:p w14:paraId="692F851C">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13</w:t>
      </w:r>
      <w:r>
        <w:rPr>
          <w:rFonts w:hint="eastAsia" w:ascii="宋体" w:hAnsi="宋体" w:eastAsia="宋体" w:cs="Times New Roman"/>
          <w:sz w:val="24"/>
          <w:szCs w:val="24"/>
          <w:lang w:val="zh-TW" w:eastAsia="zh-TW"/>
        </w:rPr>
        <w:t>人员要求：</w:t>
      </w:r>
    </w:p>
    <w:p w14:paraId="13E626A2">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13.1</w:t>
      </w:r>
      <w:r>
        <w:rPr>
          <w:rFonts w:hint="eastAsia" w:ascii="宋体" w:hAnsi="宋体" w:eastAsia="宋体" w:cs="Times New Roman"/>
          <w:sz w:val="24"/>
          <w:szCs w:val="24"/>
          <w:lang w:val="zh-TW" w:eastAsia="zh-TW"/>
        </w:rPr>
        <w:t>为本项目配置的医疗技术人员：</w:t>
      </w:r>
    </w:p>
    <w:p w14:paraId="53981FB8">
      <w:pPr>
        <w:spacing w:line="360" w:lineRule="auto"/>
        <w:ind w:firstLine="480" w:firstLineChars="200"/>
        <w:rPr>
          <w:rFonts w:hint="eastAsia" w:ascii="宋体" w:hAnsi="宋体" w:eastAsia="宋体" w:cs="Times New Roman"/>
          <w:sz w:val="24"/>
          <w:szCs w:val="24"/>
          <w:lang w:val="zh-TW"/>
        </w:rPr>
      </w:pPr>
      <w:r>
        <w:rPr>
          <w:rFonts w:hint="eastAsia" w:ascii="宋体" w:hAnsi="宋体" w:eastAsia="宋体" w:cs="Times New Roman"/>
          <w:sz w:val="24"/>
          <w:szCs w:val="24"/>
          <w:lang w:val="zh-TW" w:eastAsia="zh-TW"/>
        </w:rPr>
        <w:t>具有2名内科</w:t>
      </w:r>
      <w:r>
        <w:rPr>
          <w:rFonts w:hint="eastAsia" w:ascii="宋体" w:hAnsi="宋体" w:eastAsia="宋体" w:cs="Times New Roman"/>
          <w:sz w:val="24"/>
          <w:szCs w:val="24"/>
          <w:lang w:val="zh-TW"/>
        </w:rPr>
        <w:t>及</w:t>
      </w:r>
      <w:r>
        <w:rPr>
          <w:rFonts w:hint="eastAsia" w:ascii="宋体" w:hAnsi="宋体" w:eastAsia="宋体" w:cs="Times New Roman"/>
          <w:sz w:val="24"/>
          <w:szCs w:val="24"/>
          <w:lang w:val="zh-TW" w:eastAsia="zh-TW"/>
        </w:rPr>
        <w:t>外科副高（含）以上专业技术职务任职资格的执业医师，每个检查项目具有1名中级（含）以上专业技术职务任职资格的执业医师</w:t>
      </w:r>
      <w:r>
        <w:rPr>
          <w:rFonts w:hint="eastAsia" w:ascii="宋体" w:hAnsi="宋体" w:eastAsia="宋体" w:cs="Times New Roman"/>
          <w:sz w:val="24"/>
          <w:szCs w:val="24"/>
          <w:lang w:val="zh-TW"/>
        </w:rPr>
        <w:t>。</w:t>
      </w:r>
    </w:p>
    <w:p w14:paraId="79A8D21B">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rPr>
        <w:t>13.2</w:t>
      </w:r>
      <w:r>
        <w:rPr>
          <w:rFonts w:hint="eastAsia" w:ascii="宋体" w:hAnsi="宋体" w:eastAsia="宋体" w:cs="Times New Roman"/>
          <w:sz w:val="24"/>
          <w:szCs w:val="24"/>
          <w:lang w:val="zh-TW" w:eastAsia="zh-TW"/>
        </w:rPr>
        <w:t>参检的医务人员均须具备国家规定的医师执业资格或护士执业资格（已在供应商单位注册）并在卫生行政管理部门备案（供应商须在响应文件中提供承诺函原件，加盖供应商鲜章）。</w:t>
      </w:r>
    </w:p>
    <w:p w14:paraId="00E80EBB">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14.</w:t>
      </w:r>
      <w:r>
        <w:rPr>
          <w:rFonts w:hint="eastAsia" w:ascii="宋体" w:hAnsi="宋体" w:eastAsia="宋体" w:cs="Times New Roman"/>
          <w:sz w:val="24"/>
          <w:szCs w:val="24"/>
          <w:lang w:val="zh-TW" w:eastAsia="zh-TW"/>
        </w:rPr>
        <w:t>供应商如为连锁性体检机构，须指定其某一家门店参加本次采购活动。</w:t>
      </w:r>
    </w:p>
    <w:p w14:paraId="669BB2D6">
      <w:pPr>
        <w:spacing w:line="360" w:lineRule="auto"/>
        <w:ind w:firstLine="480" w:firstLineChars="200"/>
        <w:rPr>
          <w:rFonts w:hint="eastAsia" w:ascii="宋体" w:hAnsi="宋体" w:eastAsia="宋体" w:cs="Times New Roman"/>
          <w:sz w:val="24"/>
          <w:szCs w:val="24"/>
          <w:lang w:val="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15.</w:t>
      </w:r>
      <w:r>
        <w:rPr>
          <w:rFonts w:hint="eastAsia" w:ascii="宋体" w:hAnsi="宋体" w:eastAsia="宋体" w:cs="Times New Roman"/>
          <w:sz w:val="24"/>
          <w:szCs w:val="24"/>
          <w:lang w:val="zh-TW" w:eastAsia="zh-TW"/>
        </w:rPr>
        <w:t>供应商成交后在合同服务期内不得将采购人教职工体检安排到其分支机构、联营机构、下属机构。</w:t>
      </w:r>
    </w:p>
    <w:p w14:paraId="5A9D97E8">
      <w:pPr>
        <w:spacing w:line="360" w:lineRule="auto"/>
        <w:ind w:firstLine="480" w:firstLineChars="200"/>
        <w:rPr>
          <w:rFonts w:hint="eastAsia" w:ascii="宋体" w:hAnsi="宋体" w:eastAsia="宋体" w:cs="Times New Roman"/>
          <w:sz w:val="24"/>
          <w:szCs w:val="24"/>
          <w:lang w:val="zh-TW" w:eastAsia="zh-TW"/>
        </w:rPr>
      </w:pPr>
      <w:r>
        <w:rPr>
          <w:rFonts w:hint="eastAsia" w:ascii="宋体" w:hAnsi="宋体" w:eastAsia="宋体" w:cs="Times New Roman"/>
          <w:sz w:val="24"/>
          <w:szCs w:val="24"/>
          <w:lang w:val="zh-TW" w:eastAsia="zh-TW"/>
        </w:rPr>
        <w:t>★</w:t>
      </w:r>
      <w:r>
        <w:rPr>
          <w:rFonts w:hint="eastAsia" w:ascii="宋体" w:hAnsi="宋体" w:eastAsia="宋体" w:cs="Times New Roman"/>
          <w:sz w:val="24"/>
          <w:szCs w:val="24"/>
          <w:lang w:val="zh-TW"/>
        </w:rPr>
        <w:t>16.</w:t>
      </w:r>
      <w:r>
        <w:rPr>
          <w:rFonts w:hint="eastAsia" w:ascii="宋体" w:hAnsi="宋体" w:eastAsia="宋体" w:cs="Times New Roman"/>
          <w:sz w:val="24"/>
          <w:szCs w:val="24"/>
          <w:lang w:val="zh-TW" w:eastAsia="zh-TW"/>
        </w:rPr>
        <w:t>具体套餐检查项目为：</w:t>
      </w:r>
    </w:p>
    <w:p w14:paraId="68413D5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16.1体检套餐（一）：适用于男性</w:t>
      </w:r>
    </w:p>
    <w:p w14:paraId="2D28B16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16.2体检套餐（二）：适用于女性</w:t>
      </w:r>
    </w:p>
    <w:p w14:paraId="7481E3C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16.3体检套餐（三）：男女通用</w:t>
      </w:r>
    </w:p>
    <w:p w14:paraId="131CFFAB">
      <w:pPr>
        <w:spacing w:line="360" w:lineRule="auto"/>
        <w:ind w:firstLine="480" w:firstLineChars="200"/>
        <w:rPr>
          <w:rFonts w:hint="eastAsia" w:ascii="宋体" w:hAnsi="宋体" w:eastAsia="宋体" w:cs="Times New Roman"/>
          <w:sz w:val="24"/>
          <w:szCs w:val="24"/>
        </w:rPr>
      </w:pPr>
    </w:p>
    <w:p w14:paraId="73B77DB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体检套餐（一）</w:t>
      </w:r>
    </w:p>
    <w:tbl>
      <w:tblPr>
        <w:tblStyle w:val="23"/>
        <w:tblW w:w="9148" w:type="dxa"/>
        <w:tblInd w:w="93" w:type="dxa"/>
        <w:tblLayout w:type="fixed"/>
        <w:tblCellMar>
          <w:top w:w="0" w:type="dxa"/>
          <w:left w:w="108" w:type="dxa"/>
          <w:bottom w:w="0" w:type="dxa"/>
          <w:right w:w="108" w:type="dxa"/>
        </w:tblCellMar>
      </w:tblPr>
      <w:tblGrid>
        <w:gridCol w:w="633"/>
        <w:gridCol w:w="1762"/>
        <w:gridCol w:w="5408"/>
        <w:gridCol w:w="1345"/>
      </w:tblGrid>
      <w:tr w14:paraId="0745E4A8">
        <w:tblPrEx>
          <w:tblCellMar>
            <w:top w:w="0" w:type="dxa"/>
            <w:left w:w="108" w:type="dxa"/>
            <w:bottom w:w="0" w:type="dxa"/>
            <w:right w:w="108" w:type="dxa"/>
          </w:tblCellMar>
        </w:tblPrEx>
        <w:trPr>
          <w:trHeight w:val="420" w:hRule="atLeast"/>
        </w:trPr>
        <w:tc>
          <w:tcPr>
            <w:tcW w:w="9148" w:type="dxa"/>
            <w:gridSpan w:val="4"/>
            <w:tcBorders>
              <w:top w:val="nil"/>
              <w:left w:val="nil"/>
              <w:bottom w:val="single" w:color="auto" w:sz="4" w:space="0"/>
              <w:right w:val="nil"/>
            </w:tcBorders>
            <w:shd w:val="clear" w:color="auto" w:fill="auto"/>
            <w:noWrap/>
            <w:vAlign w:val="center"/>
          </w:tcPr>
          <w:p w14:paraId="25784CD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1.基础套餐</w:t>
            </w:r>
          </w:p>
        </w:tc>
      </w:tr>
      <w:tr w14:paraId="7F4DA1DB">
        <w:tblPrEx>
          <w:tblCellMar>
            <w:top w:w="0" w:type="dxa"/>
            <w:left w:w="108" w:type="dxa"/>
            <w:bottom w:w="0" w:type="dxa"/>
            <w:right w:w="108" w:type="dxa"/>
          </w:tblCellMar>
        </w:tblPrEx>
        <w:trPr>
          <w:trHeight w:val="64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62B70AF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762" w:type="dxa"/>
            <w:tcBorders>
              <w:top w:val="nil"/>
              <w:left w:val="nil"/>
              <w:bottom w:val="single" w:color="auto" w:sz="4" w:space="0"/>
              <w:right w:val="single" w:color="auto" w:sz="4" w:space="0"/>
            </w:tcBorders>
            <w:shd w:val="clear" w:color="auto" w:fill="auto"/>
            <w:vAlign w:val="center"/>
          </w:tcPr>
          <w:p w14:paraId="4E48B9D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项目</w:t>
            </w:r>
          </w:p>
        </w:tc>
        <w:tc>
          <w:tcPr>
            <w:tcW w:w="5408" w:type="dxa"/>
            <w:tcBorders>
              <w:top w:val="nil"/>
              <w:left w:val="nil"/>
              <w:bottom w:val="single" w:color="auto" w:sz="4" w:space="0"/>
              <w:right w:val="single" w:color="auto" w:sz="4" w:space="0"/>
            </w:tcBorders>
            <w:shd w:val="clear" w:color="auto" w:fill="auto"/>
            <w:vAlign w:val="center"/>
          </w:tcPr>
          <w:p w14:paraId="06D9D5F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检查意义</w:t>
            </w:r>
          </w:p>
        </w:tc>
        <w:tc>
          <w:tcPr>
            <w:tcW w:w="1345" w:type="dxa"/>
            <w:tcBorders>
              <w:top w:val="nil"/>
              <w:left w:val="nil"/>
              <w:bottom w:val="single" w:color="auto" w:sz="4" w:space="0"/>
              <w:right w:val="single" w:color="auto" w:sz="4" w:space="0"/>
            </w:tcBorders>
            <w:shd w:val="clear" w:color="auto" w:fill="auto"/>
            <w:noWrap/>
            <w:vAlign w:val="center"/>
          </w:tcPr>
          <w:p w14:paraId="53177FB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备注</w:t>
            </w:r>
          </w:p>
        </w:tc>
      </w:tr>
      <w:tr w14:paraId="3517FA3E">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028E3C3">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1</w:t>
            </w:r>
          </w:p>
        </w:tc>
        <w:tc>
          <w:tcPr>
            <w:tcW w:w="1762" w:type="dxa"/>
            <w:tcBorders>
              <w:top w:val="nil"/>
              <w:left w:val="nil"/>
              <w:bottom w:val="single" w:color="auto" w:sz="4" w:space="0"/>
              <w:right w:val="single" w:color="auto" w:sz="4" w:space="0"/>
            </w:tcBorders>
            <w:shd w:val="clear" w:color="auto" w:fill="auto"/>
            <w:vAlign w:val="center"/>
          </w:tcPr>
          <w:p w14:paraId="753FD2A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一般检查</w:t>
            </w:r>
          </w:p>
        </w:tc>
        <w:tc>
          <w:tcPr>
            <w:tcW w:w="5408" w:type="dxa"/>
            <w:tcBorders>
              <w:top w:val="nil"/>
              <w:left w:val="nil"/>
              <w:bottom w:val="single" w:color="auto" w:sz="4" w:space="0"/>
              <w:right w:val="single" w:color="auto" w:sz="4" w:space="0"/>
            </w:tcBorders>
            <w:shd w:val="clear" w:color="auto" w:fill="auto"/>
            <w:vAlign w:val="center"/>
          </w:tcPr>
          <w:p w14:paraId="1A6A542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判断是否超重、肥胖、消瘦，有无高血压</w:t>
            </w:r>
          </w:p>
        </w:tc>
        <w:tc>
          <w:tcPr>
            <w:tcW w:w="1345" w:type="dxa"/>
            <w:tcBorders>
              <w:top w:val="nil"/>
              <w:left w:val="nil"/>
              <w:bottom w:val="single" w:color="auto" w:sz="4" w:space="0"/>
              <w:right w:val="single" w:color="auto" w:sz="4" w:space="0"/>
            </w:tcBorders>
            <w:shd w:val="clear" w:color="auto" w:fill="auto"/>
            <w:noWrap/>
            <w:vAlign w:val="center"/>
          </w:tcPr>
          <w:p w14:paraId="6118F06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w:t>
            </w:r>
          </w:p>
        </w:tc>
      </w:tr>
      <w:tr w14:paraId="79469FB1">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356FD826">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2</w:t>
            </w:r>
          </w:p>
        </w:tc>
        <w:tc>
          <w:tcPr>
            <w:tcW w:w="1762" w:type="dxa"/>
            <w:tcBorders>
              <w:top w:val="nil"/>
              <w:left w:val="nil"/>
              <w:bottom w:val="single" w:color="auto" w:sz="4" w:space="0"/>
              <w:right w:val="single" w:color="auto" w:sz="4" w:space="0"/>
            </w:tcBorders>
            <w:shd w:val="clear" w:color="auto" w:fill="auto"/>
            <w:vAlign w:val="center"/>
          </w:tcPr>
          <w:p w14:paraId="389E863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内科常规检查</w:t>
            </w:r>
          </w:p>
        </w:tc>
        <w:tc>
          <w:tcPr>
            <w:tcW w:w="5408" w:type="dxa"/>
            <w:tcBorders>
              <w:top w:val="nil"/>
              <w:left w:val="nil"/>
              <w:bottom w:val="single" w:color="auto" w:sz="4" w:space="0"/>
              <w:right w:val="single" w:color="auto" w:sz="4" w:space="0"/>
            </w:tcBorders>
            <w:shd w:val="clear" w:color="auto" w:fill="auto"/>
            <w:vAlign w:val="center"/>
          </w:tcPr>
          <w:p w14:paraId="1242B07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检查心、肺、肝、脾、神经系统有无异常</w:t>
            </w:r>
          </w:p>
        </w:tc>
        <w:tc>
          <w:tcPr>
            <w:tcW w:w="1345" w:type="dxa"/>
            <w:tcBorders>
              <w:top w:val="nil"/>
              <w:left w:val="nil"/>
              <w:bottom w:val="single" w:color="auto" w:sz="4" w:space="0"/>
              <w:right w:val="single" w:color="auto" w:sz="4" w:space="0"/>
            </w:tcBorders>
            <w:shd w:val="clear" w:color="auto" w:fill="auto"/>
            <w:noWrap/>
            <w:vAlign w:val="center"/>
          </w:tcPr>
          <w:p w14:paraId="06A3FE20">
            <w:pPr>
              <w:spacing w:line="360" w:lineRule="auto"/>
              <w:ind w:firstLine="480" w:firstLineChars="200"/>
              <w:rPr>
                <w:rFonts w:hint="eastAsia" w:ascii="宋体" w:hAnsi="宋体" w:eastAsia="宋体" w:cs="Times New Roman"/>
                <w:sz w:val="24"/>
                <w:szCs w:val="24"/>
              </w:rPr>
            </w:pPr>
          </w:p>
        </w:tc>
      </w:tr>
      <w:tr w14:paraId="360249E4">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7707204D">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3</w:t>
            </w:r>
          </w:p>
        </w:tc>
        <w:tc>
          <w:tcPr>
            <w:tcW w:w="1762" w:type="dxa"/>
            <w:tcBorders>
              <w:top w:val="nil"/>
              <w:left w:val="nil"/>
              <w:bottom w:val="single" w:color="auto" w:sz="4" w:space="0"/>
              <w:right w:val="single" w:color="auto" w:sz="4" w:space="0"/>
            </w:tcBorders>
            <w:shd w:val="clear" w:color="auto" w:fill="auto"/>
            <w:vAlign w:val="center"/>
          </w:tcPr>
          <w:p w14:paraId="44D6E56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外科常规检查</w:t>
            </w:r>
          </w:p>
        </w:tc>
        <w:tc>
          <w:tcPr>
            <w:tcW w:w="5408" w:type="dxa"/>
            <w:tcBorders>
              <w:top w:val="nil"/>
              <w:left w:val="nil"/>
              <w:bottom w:val="single" w:color="auto" w:sz="4" w:space="0"/>
              <w:right w:val="single" w:color="auto" w:sz="4" w:space="0"/>
            </w:tcBorders>
            <w:shd w:val="clear" w:color="auto" w:fill="auto"/>
            <w:vAlign w:val="center"/>
          </w:tcPr>
          <w:p w14:paraId="499671DA">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检查甲状腺、浅表淋巴结等有无异常</w:t>
            </w:r>
          </w:p>
        </w:tc>
        <w:tc>
          <w:tcPr>
            <w:tcW w:w="1345" w:type="dxa"/>
            <w:tcBorders>
              <w:top w:val="nil"/>
              <w:left w:val="nil"/>
              <w:bottom w:val="single" w:color="auto" w:sz="4" w:space="0"/>
              <w:right w:val="single" w:color="auto" w:sz="4" w:space="0"/>
            </w:tcBorders>
            <w:shd w:val="clear" w:color="auto" w:fill="auto"/>
            <w:noWrap/>
            <w:vAlign w:val="center"/>
          </w:tcPr>
          <w:p w14:paraId="54A792F3">
            <w:pPr>
              <w:spacing w:line="360" w:lineRule="auto"/>
              <w:ind w:firstLine="480" w:firstLineChars="200"/>
              <w:rPr>
                <w:rFonts w:hint="eastAsia" w:ascii="宋体" w:hAnsi="宋体" w:eastAsia="宋体" w:cs="Times New Roman"/>
                <w:sz w:val="24"/>
                <w:szCs w:val="24"/>
              </w:rPr>
            </w:pPr>
          </w:p>
        </w:tc>
      </w:tr>
      <w:tr w14:paraId="298D4643">
        <w:tblPrEx>
          <w:tblCellMar>
            <w:top w:w="0" w:type="dxa"/>
            <w:left w:w="108" w:type="dxa"/>
            <w:bottom w:w="0" w:type="dxa"/>
            <w:right w:w="108" w:type="dxa"/>
          </w:tblCellMar>
        </w:tblPrEx>
        <w:trPr>
          <w:trHeight w:val="66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447FB2CB">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4</w:t>
            </w:r>
          </w:p>
        </w:tc>
        <w:tc>
          <w:tcPr>
            <w:tcW w:w="1762" w:type="dxa"/>
            <w:tcBorders>
              <w:top w:val="nil"/>
              <w:left w:val="nil"/>
              <w:bottom w:val="single" w:color="auto" w:sz="4" w:space="0"/>
              <w:right w:val="single" w:color="auto" w:sz="4" w:space="0"/>
            </w:tcBorders>
            <w:shd w:val="clear" w:color="auto" w:fill="auto"/>
            <w:vAlign w:val="center"/>
          </w:tcPr>
          <w:p w14:paraId="617709C0">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肝功9项</w:t>
            </w:r>
          </w:p>
        </w:tc>
        <w:tc>
          <w:tcPr>
            <w:tcW w:w="5408" w:type="dxa"/>
            <w:tcBorders>
              <w:top w:val="nil"/>
              <w:left w:val="nil"/>
              <w:bottom w:val="single" w:color="auto" w:sz="4" w:space="0"/>
              <w:right w:val="single" w:color="auto" w:sz="4" w:space="0"/>
            </w:tcBorders>
            <w:shd w:val="clear" w:color="auto" w:fill="auto"/>
            <w:vAlign w:val="center"/>
          </w:tcPr>
          <w:p w14:paraId="4C39299B">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检查肝胆代谢功能有无异常，用于检测肝胆疾病，慢性肝损害、胆道梗阻等疾病</w:t>
            </w:r>
          </w:p>
        </w:tc>
        <w:tc>
          <w:tcPr>
            <w:tcW w:w="1345" w:type="dxa"/>
            <w:tcBorders>
              <w:top w:val="nil"/>
              <w:left w:val="nil"/>
              <w:bottom w:val="single" w:color="auto" w:sz="4" w:space="0"/>
              <w:right w:val="single" w:color="auto" w:sz="4" w:space="0"/>
            </w:tcBorders>
            <w:shd w:val="clear" w:color="auto" w:fill="auto"/>
            <w:noWrap/>
            <w:vAlign w:val="center"/>
          </w:tcPr>
          <w:p w14:paraId="696837B1">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w:t>
            </w:r>
          </w:p>
        </w:tc>
      </w:tr>
      <w:tr w14:paraId="55344CB4">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1853CD8C">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5</w:t>
            </w:r>
          </w:p>
        </w:tc>
        <w:tc>
          <w:tcPr>
            <w:tcW w:w="1762" w:type="dxa"/>
            <w:tcBorders>
              <w:top w:val="nil"/>
              <w:left w:val="nil"/>
              <w:bottom w:val="single" w:color="auto" w:sz="4" w:space="0"/>
              <w:right w:val="single" w:color="auto" w:sz="4" w:space="0"/>
            </w:tcBorders>
            <w:shd w:val="clear" w:color="auto" w:fill="auto"/>
            <w:vAlign w:val="center"/>
          </w:tcPr>
          <w:p w14:paraId="105AEC4B">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肾功3项</w:t>
            </w:r>
          </w:p>
        </w:tc>
        <w:tc>
          <w:tcPr>
            <w:tcW w:w="5408" w:type="dxa"/>
            <w:tcBorders>
              <w:top w:val="nil"/>
              <w:left w:val="nil"/>
              <w:bottom w:val="single" w:color="auto" w:sz="4" w:space="0"/>
              <w:right w:val="single" w:color="auto" w:sz="4" w:space="0"/>
            </w:tcBorders>
            <w:shd w:val="clear" w:color="auto" w:fill="auto"/>
            <w:vAlign w:val="center"/>
          </w:tcPr>
          <w:p w14:paraId="1C7E1150">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检查肾脏的代谢、排泄功能是否正常</w:t>
            </w:r>
          </w:p>
        </w:tc>
        <w:tc>
          <w:tcPr>
            <w:tcW w:w="1345" w:type="dxa"/>
            <w:tcBorders>
              <w:top w:val="nil"/>
              <w:left w:val="nil"/>
              <w:bottom w:val="single" w:color="auto" w:sz="4" w:space="0"/>
              <w:right w:val="single" w:color="auto" w:sz="4" w:space="0"/>
            </w:tcBorders>
            <w:shd w:val="clear" w:color="auto" w:fill="auto"/>
            <w:noWrap/>
            <w:vAlign w:val="center"/>
          </w:tcPr>
          <w:p w14:paraId="451557B6">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w:t>
            </w:r>
          </w:p>
        </w:tc>
      </w:tr>
      <w:tr w14:paraId="67A0B648">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6EA06B0F">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6</w:t>
            </w:r>
          </w:p>
        </w:tc>
        <w:tc>
          <w:tcPr>
            <w:tcW w:w="1762" w:type="dxa"/>
            <w:tcBorders>
              <w:top w:val="nil"/>
              <w:left w:val="nil"/>
              <w:bottom w:val="single" w:color="auto" w:sz="4" w:space="0"/>
              <w:right w:val="single" w:color="auto" w:sz="4" w:space="0"/>
            </w:tcBorders>
            <w:shd w:val="clear" w:color="auto" w:fill="auto"/>
            <w:vAlign w:val="center"/>
          </w:tcPr>
          <w:p w14:paraId="56C2BA1A">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血糖2项</w:t>
            </w:r>
          </w:p>
        </w:tc>
        <w:tc>
          <w:tcPr>
            <w:tcW w:w="5408" w:type="dxa"/>
            <w:tcBorders>
              <w:top w:val="nil"/>
              <w:left w:val="nil"/>
              <w:bottom w:val="single" w:color="auto" w:sz="4" w:space="0"/>
              <w:right w:val="single" w:color="auto" w:sz="4" w:space="0"/>
            </w:tcBorders>
            <w:shd w:val="clear" w:color="auto" w:fill="auto"/>
            <w:vAlign w:val="center"/>
          </w:tcPr>
          <w:p w14:paraId="22FE6D03">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是糖尿病最基本的检测方法</w:t>
            </w:r>
          </w:p>
        </w:tc>
        <w:tc>
          <w:tcPr>
            <w:tcW w:w="1345" w:type="dxa"/>
            <w:tcBorders>
              <w:top w:val="nil"/>
              <w:left w:val="nil"/>
              <w:bottom w:val="single" w:color="auto" w:sz="4" w:space="0"/>
              <w:right w:val="single" w:color="auto" w:sz="4" w:space="0"/>
            </w:tcBorders>
            <w:shd w:val="clear" w:color="auto" w:fill="auto"/>
            <w:noWrap/>
            <w:vAlign w:val="center"/>
          </w:tcPr>
          <w:p w14:paraId="45C7EAE0">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w:t>
            </w:r>
          </w:p>
        </w:tc>
      </w:tr>
      <w:tr w14:paraId="28658599">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38104B90">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7</w:t>
            </w:r>
          </w:p>
        </w:tc>
        <w:tc>
          <w:tcPr>
            <w:tcW w:w="1762" w:type="dxa"/>
            <w:tcBorders>
              <w:top w:val="nil"/>
              <w:left w:val="nil"/>
              <w:bottom w:val="single" w:color="auto" w:sz="4" w:space="0"/>
              <w:right w:val="single" w:color="auto" w:sz="4" w:space="0"/>
            </w:tcBorders>
            <w:shd w:val="clear" w:color="auto" w:fill="auto"/>
            <w:vAlign w:val="center"/>
          </w:tcPr>
          <w:p w14:paraId="5C284D9E">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血脂6项</w:t>
            </w:r>
          </w:p>
        </w:tc>
        <w:tc>
          <w:tcPr>
            <w:tcW w:w="5408" w:type="dxa"/>
            <w:tcBorders>
              <w:top w:val="nil"/>
              <w:left w:val="nil"/>
              <w:bottom w:val="single" w:color="auto" w:sz="4" w:space="0"/>
              <w:right w:val="single" w:color="auto" w:sz="4" w:space="0"/>
            </w:tcBorders>
            <w:shd w:val="clear" w:color="auto" w:fill="auto"/>
            <w:vAlign w:val="center"/>
          </w:tcPr>
          <w:p w14:paraId="583011FF">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用于血脂代谢紊乱评价、动脉粥样硬化性疾病危险度预测和营养学评价</w:t>
            </w:r>
          </w:p>
        </w:tc>
        <w:tc>
          <w:tcPr>
            <w:tcW w:w="1345" w:type="dxa"/>
            <w:tcBorders>
              <w:top w:val="nil"/>
              <w:left w:val="nil"/>
              <w:bottom w:val="single" w:color="auto" w:sz="4" w:space="0"/>
              <w:right w:val="single" w:color="auto" w:sz="4" w:space="0"/>
            </w:tcBorders>
            <w:shd w:val="clear" w:color="auto" w:fill="auto"/>
            <w:noWrap/>
            <w:vAlign w:val="center"/>
          </w:tcPr>
          <w:p w14:paraId="0DA2BC34">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w:t>
            </w:r>
          </w:p>
        </w:tc>
      </w:tr>
      <w:tr w14:paraId="0A962E71">
        <w:tblPrEx>
          <w:tblCellMar>
            <w:top w:w="0" w:type="dxa"/>
            <w:left w:w="108" w:type="dxa"/>
            <w:bottom w:w="0" w:type="dxa"/>
            <w:right w:w="108" w:type="dxa"/>
          </w:tblCellMar>
        </w:tblPrEx>
        <w:trPr>
          <w:trHeight w:val="69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6D811A7">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8</w:t>
            </w:r>
          </w:p>
        </w:tc>
        <w:tc>
          <w:tcPr>
            <w:tcW w:w="1762" w:type="dxa"/>
            <w:tcBorders>
              <w:top w:val="nil"/>
              <w:left w:val="nil"/>
              <w:bottom w:val="single" w:color="auto" w:sz="4" w:space="0"/>
              <w:right w:val="single" w:color="auto" w:sz="4" w:space="0"/>
            </w:tcBorders>
            <w:shd w:val="clear" w:color="auto" w:fill="auto"/>
            <w:vAlign w:val="center"/>
          </w:tcPr>
          <w:p w14:paraId="14075751">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血常规</w:t>
            </w:r>
          </w:p>
        </w:tc>
        <w:tc>
          <w:tcPr>
            <w:tcW w:w="5408" w:type="dxa"/>
            <w:tcBorders>
              <w:top w:val="nil"/>
              <w:left w:val="nil"/>
              <w:bottom w:val="single" w:color="auto" w:sz="4" w:space="0"/>
              <w:right w:val="single" w:color="auto" w:sz="4" w:space="0"/>
            </w:tcBorders>
            <w:shd w:val="clear" w:color="auto" w:fill="auto"/>
            <w:vAlign w:val="center"/>
          </w:tcPr>
          <w:p w14:paraId="19189BBE">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了解有无感染、贫血、炎症、凝血功能障碍及血液等疾病</w:t>
            </w:r>
          </w:p>
        </w:tc>
        <w:tc>
          <w:tcPr>
            <w:tcW w:w="1345" w:type="dxa"/>
            <w:tcBorders>
              <w:top w:val="nil"/>
              <w:left w:val="nil"/>
              <w:bottom w:val="single" w:color="auto" w:sz="4" w:space="0"/>
              <w:right w:val="single" w:color="auto" w:sz="4" w:space="0"/>
            </w:tcBorders>
            <w:shd w:val="clear" w:color="auto" w:fill="auto"/>
            <w:noWrap/>
            <w:vAlign w:val="center"/>
          </w:tcPr>
          <w:p w14:paraId="02194B80">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w:t>
            </w:r>
          </w:p>
        </w:tc>
      </w:tr>
      <w:tr w14:paraId="273EE816">
        <w:tblPrEx>
          <w:tblCellMar>
            <w:top w:w="0" w:type="dxa"/>
            <w:left w:w="108" w:type="dxa"/>
            <w:bottom w:w="0" w:type="dxa"/>
            <w:right w:w="108" w:type="dxa"/>
          </w:tblCellMar>
        </w:tblPrEx>
        <w:trPr>
          <w:trHeight w:val="585"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95E1CA">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9</w:t>
            </w:r>
          </w:p>
        </w:tc>
        <w:tc>
          <w:tcPr>
            <w:tcW w:w="1762" w:type="dxa"/>
            <w:tcBorders>
              <w:top w:val="single" w:color="auto" w:sz="4" w:space="0"/>
              <w:left w:val="nil"/>
              <w:bottom w:val="single" w:color="auto" w:sz="4" w:space="0"/>
              <w:right w:val="single" w:color="auto" w:sz="4" w:space="0"/>
            </w:tcBorders>
            <w:shd w:val="clear" w:color="auto" w:fill="auto"/>
            <w:vAlign w:val="center"/>
          </w:tcPr>
          <w:p w14:paraId="408FFBAB">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尿常规</w:t>
            </w:r>
          </w:p>
        </w:tc>
        <w:tc>
          <w:tcPr>
            <w:tcW w:w="5408" w:type="dxa"/>
            <w:tcBorders>
              <w:top w:val="single" w:color="auto" w:sz="4" w:space="0"/>
              <w:left w:val="nil"/>
              <w:bottom w:val="single" w:color="auto" w:sz="4" w:space="0"/>
              <w:right w:val="single" w:color="auto" w:sz="4" w:space="0"/>
            </w:tcBorders>
            <w:shd w:val="clear" w:color="auto" w:fill="auto"/>
            <w:vAlign w:val="center"/>
          </w:tcPr>
          <w:p w14:paraId="70CA6EF2">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了解有无尿蛋白、尿糖、泌尿系感染等</w:t>
            </w:r>
          </w:p>
        </w:tc>
        <w:tc>
          <w:tcPr>
            <w:tcW w:w="1345" w:type="dxa"/>
            <w:tcBorders>
              <w:top w:val="single" w:color="auto" w:sz="4" w:space="0"/>
              <w:left w:val="nil"/>
              <w:bottom w:val="single" w:color="auto" w:sz="4" w:space="0"/>
              <w:right w:val="single" w:color="auto" w:sz="4" w:space="0"/>
            </w:tcBorders>
            <w:shd w:val="clear" w:color="auto" w:fill="auto"/>
            <w:noWrap/>
            <w:vAlign w:val="center"/>
          </w:tcPr>
          <w:p w14:paraId="771279B0">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w:t>
            </w:r>
          </w:p>
        </w:tc>
      </w:tr>
      <w:tr w14:paraId="0B375359">
        <w:tblPrEx>
          <w:tblCellMar>
            <w:top w:w="0" w:type="dxa"/>
            <w:left w:w="108" w:type="dxa"/>
            <w:bottom w:w="0" w:type="dxa"/>
            <w:right w:w="108" w:type="dxa"/>
          </w:tblCellMar>
        </w:tblPrEx>
        <w:trPr>
          <w:trHeight w:val="36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76B8C29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w:t>
            </w:r>
          </w:p>
        </w:tc>
        <w:tc>
          <w:tcPr>
            <w:tcW w:w="1762" w:type="dxa"/>
            <w:tcBorders>
              <w:top w:val="nil"/>
              <w:left w:val="nil"/>
              <w:bottom w:val="single" w:color="auto" w:sz="4" w:space="0"/>
              <w:right w:val="single" w:color="auto" w:sz="4" w:space="0"/>
            </w:tcBorders>
            <w:shd w:val="clear" w:color="auto" w:fill="auto"/>
            <w:vAlign w:val="center"/>
          </w:tcPr>
          <w:p w14:paraId="3756C898">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心肌酶谱</w:t>
            </w:r>
          </w:p>
        </w:tc>
        <w:tc>
          <w:tcPr>
            <w:tcW w:w="5408" w:type="dxa"/>
            <w:tcBorders>
              <w:top w:val="nil"/>
              <w:left w:val="nil"/>
              <w:bottom w:val="single" w:color="auto" w:sz="4" w:space="0"/>
              <w:right w:val="single" w:color="auto" w:sz="4" w:space="0"/>
            </w:tcBorders>
            <w:shd w:val="clear" w:color="auto" w:fill="auto"/>
            <w:vAlign w:val="center"/>
          </w:tcPr>
          <w:p w14:paraId="3658BC82">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筛检有无心脏病变、预防心脑血管疾病</w:t>
            </w:r>
          </w:p>
        </w:tc>
        <w:tc>
          <w:tcPr>
            <w:tcW w:w="1345" w:type="dxa"/>
            <w:tcBorders>
              <w:top w:val="nil"/>
              <w:left w:val="nil"/>
              <w:bottom w:val="single" w:color="auto" w:sz="4" w:space="0"/>
              <w:right w:val="single" w:color="auto" w:sz="4" w:space="0"/>
            </w:tcBorders>
            <w:shd w:val="clear" w:color="auto" w:fill="auto"/>
            <w:noWrap/>
            <w:vAlign w:val="center"/>
          </w:tcPr>
          <w:p w14:paraId="17DAD231">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w:t>
            </w:r>
          </w:p>
        </w:tc>
      </w:tr>
      <w:tr w14:paraId="314B7B97">
        <w:tblPrEx>
          <w:tblCellMar>
            <w:top w:w="0" w:type="dxa"/>
            <w:left w:w="108" w:type="dxa"/>
            <w:bottom w:w="0" w:type="dxa"/>
            <w:right w:w="108" w:type="dxa"/>
          </w:tblCellMar>
        </w:tblPrEx>
        <w:trPr>
          <w:trHeight w:val="525"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DEE664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w:t>
            </w:r>
          </w:p>
        </w:tc>
        <w:tc>
          <w:tcPr>
            <w:tcW w:w="1762" w:type="dxa"/>
            <w:tcBorders>
              <w:top w:val="single" w:color="auto" w:sz="4" w:space="0"/>
              <w:left w:val="nil"/>
              <w:bottom w:val="single" w:color="auto" w:sz="4" w:space="0"/>
              <w:right w:val="single" w:color="auto" w:sz="4" w:space="0"/>
            </w:tcBorders>
            <w:shd w:val="clear" w:color="auto" w:fill="auto"/>
            <w:vAlign w:val="center"/>
          </w:tcPr>
          <w:p w14:paraId="7E38712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同型半胱氨酸</w:t>
            </w:r>
          </w:p>
        </w:tc>
        <w:tc>
          <w:tcPr>
            <w:tcW w:w="5408" w:type="dxa"/>
            <w:tcBorders>
              <w:top w:val="single" w:color="auto" w:sz="4" w:space="0"/>
              <w:left w:val="nil"/>
              <w:bottom w:val="single" w:color="auto" w:sz="4" w:space="0"/>
              <w:right w:val="single" w:color="auto" w:sz="4" w:space="0"/>
            </w:tcBorders>
            <w:shd w:val="clear" w:color="auto" w:fill="auto"/>
            <w:vAlign w:val="center"/>
          </w:tcPr>
          <w:p w14:paraId="63D620FD">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冠状动脉粥样硬化和心肌梗塞的危险性评价指标</w:t>
            </w:r>
          </w:p>
        </w:tc>
        <w:tc>
          <w:tcPr>
            <w:tcW w:w="1345" w:type="dxa"/>
            <w:tcBorders>
              <w:top w:val="single" w:color="auto" w:sz="4" w:space="0"/>
              <w:left w:val="nil"/>
              <w:bottom w:val="single" w:color="auto" w:sz="4" w:space="0"/>
              <w:right w:val="single" w:color="auto" w:sz="4" w:space="0"/>
            </w:tcBorders>
            <w:shd w:val="clear" w:color="auto" w:fill="auto"/>
            <w:noWrap/>
            <w:vAlign w:val="center"/>
          </w:tcPr>
          <w:p w14:paraId="5F83FC1B">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　</w:t>
            </w:r>
          </w:p>
        </w:tc>
      </w:tr>
      <w:tr w14:paraId="6EF27B88">
        <w:tblPrEx>
          <w:tblCellMar>
            <w:top w:w="0" w:type="dxa"/>
            <w:left w:w="108" w:type="dxa"/>
            <w:bottom w:w="0" w:type="dxa"/>
            <w:right w:w="108" w:type="dxa"/>
          </w:tblCellMar>
        </w:tblPrEx>
        <w:trPr>
          <w:trHeight w:val="34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1EEF401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w:t>
            </w:r>
          </w:p>
        </w:tc>
        <w:tc>
          <w:tcPr>
            <w:tcW w:w="1762" w:type="dxa"/>
            <w:tcBorders>
              <w:top w:val="nil"/>
              <w:left w:val="nil"/>
              <w:bottom w:val="single" w:color="auto" w:sz="4" w:space="0"/>
              <w:right w:val="single" w:color="auto" w:sz="4" w:space="0"/>
            </w:tcBorders>
            <w:shd w:val="clear" w:color="auto" w:fill="auto"/>
            <w:vAlign w:val="center"/>
          </w:tcPr>
          <w:p w14:paraId="380224A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甲胎蛋白（AFP）</w:t>
            </w:r>
          </w:p>
        </w:tc>
        <w:tc>
          <w:tcPr>
            <w:tcW w:w="5408" w:type="dxa"/>
            <w:tcBorders>
              <w:top w:val="nil"/>
              <w:left w:val="nil"/>
              <w:bottom w:val="single" w:color="auto" w:sz="4" w:space="0"/>
              <w:right w:val="single" w:color="auto" w:sz="4" w:space="0"/>
            </w:tcBorders>
            <w:shd w:val="clear" w:color="auto" w:fill="auto"/>
            <w:vAlign w:val="center"/>
          </w:tcPr>
          <w:p w14:paraId="0605F22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主要用于肝癌早期筛查</w:t>
            </w:r>
          </w:p>
        </w:tc>
        <w:tc>
          <w:tcPr>
            <w:tcW w:w="1345" w:type="dxa"/>
            <w:tcBorders>
              <w:top w:val="nil"/>
              <w:left w:val="nil"/>
              <w:bottom w:val="single" w:color="auto" w:sz="4" w:space="0"/>
              <w:right w:val="single" w:color="auto" w:sz="4" w:space="0"/>
            </w:tcBorders>
            <w:shd w:val="clear" w:color="auto" w:fill="auto"/>
            <w:noWrap/>
            <w:vAlign w:val="center"/>
          </w:tcPr>
          <w:p w14:paraId="6CED455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124A2530">
        <w:tblPrEx>
          <w:tblCellMar>
            <w:top w:w="0" w:type="dxa"/>
            <w:left w:w="108" w:type="dxa"/>
            <w:bottom w:w="0" w:type="dxa"/>
            <w:right w:w="108" w:type="dxa"/>
          </w:tblCellMar>
        </w:tblPrEx>
        <w:trPr>
          <w:trHeight w:val="525"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D3E73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w:t>
            </w:r>
          </w:p>
        </w:tc>
        <w:tc>
          <w:tcPr>
            <w:tcW w:w="1762" w:type="dxa"/>
            <w:tcBorders>
              <w:top w:val="single" w:color="auto" w:sz="4" w:space="0"/>
              <w:left w:val="nil"/>
              <w:bottom w:val="single" w:color="auto" w:sz="4" w:space="0"/>
              <w:right w:val="single" w:color="auto" w:sz="4" w:space="0"/>
            </w:tcBorders>
            <w:shd w:val="clear" w:color="auto" w:fill="auto"/>
            <w:vAlign w:val="center"/>
          </w:tcPr>
          <w:p w14:paraId="6E42084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癌胚抗原（CEA）</w:t>
            </w:r>
          </w:p>
        </w:tc>
        <w:tc>
          <w:tcPr>
            <w:tcW w:w="5408" w:type="dxa"/>
            <w:tcBorders>
              <w:top w:val="single" w:color="auto" w:sz="4" w:space="0"/>
              <w:left w:val="nil"/>
              <w:bottom w:val="single" w:color="auto" w:sz="4" w:space="0"/>
              <w:right w:val="single" w:color="auto" w:sz="4" w:space="0"/>
            </w:tcBorders>
            <w:shd w:val="clear" w:color="auto" w:fill="auto"/>
            <w:vAlign w:val="center"/>
          </w:tcPr>
          <w:p w14:paraId="296A7F8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主要用于消化道肿瘤早期筛查</w:t>
            </w:r>
          </w:p>
        </w:tc>
        <w:tc>
          <w:tcPr>
            <w:tcW w:w="1345" w:type="dxa"/>
            <w:tcBorders>
              <w:top w:val="single" w:color="auto" w:sz="4" w:space="0"/>
              <w:left w:val="nil"/>
              <w:bottom w:val="single" w:color="auto" w:sz="4" w:space="0"/>
              <w:right w:val="single" w:color="auto" w:sz="4" w:space="0"/>
            </w:tcBorders>
            <w:shd w:val="clear" w:color="auto" w:fill="auto"/>
            <w:noWrap/>
            <w:vAlign w:val="center"/>
          </w:tcPr>
          <w:p w14:paraId="0ADC665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5F964DFB">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4826AE3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w:t>
            </w:r>
          </w:p>
        </w:tc>
        <w:tc>
          <w:tcPr>
            <w:tcW w:w="1762" w:type="dxa"/>
            <w:tcBorders>
              <w:top w:val="nil"/>
              <w:left w:val="nil"/>
              <w:bottom w:val="single" w:color="auto" w:sz="4" w:space="0"/>
              <w:right w:val="single" w:color="auto" w:sz="4" w:space="0"/>
            </w:tcBorders>
            <w:shd w:val="clear" w:color="auto" w:fill="auto"/>
            <w:vAlign w:val="center"/>
          </w:tcPr>
          <w:p w14:paraId="03AC240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CA199</w:t>
            </w:r>
          </w:p>
        </w:tc>
        <w:tc>
          <w:tcPr>
            <w:tcW w:w="5408" w:type="dxa"/>
            <w:tcBorders>
              <w:top w:val="nil"/>
              <w:left w:val="nil"/>
              <w:bottom w:val="single" w:color="auto" w:sz="4" w:space="0"/>
              <w:right w:val="single" w:color="auto" w:sz="4" w:space="0"/>
            </w:tcBorders>
            <w:shd w:val="clear" w:color="auto" w:fill="auto"/>
            <w:vAlign w:val="center"/>
          </w:tcPr>
          <w:p w14:paraId="0B82168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主要用于筛查胰腺癌、胆管癌等</w:t>
            </w:r>
          </w:p>
        </w:tc>
        <w:tc>
          <w:tcPr>
            <w:tcW w:w="1345" w:type="dxa"/>
            <w:tcBorders>
              <w:top w:val="nil"/>
              <w:left w:val="nil"/>
              <w:bottom w:val="single" w:color="auto" w:sz="4" w:space="0"/>
              <w:right w:val="single" w:color="auto" w:sz="4" w:space="0"/>
            </w:tcBorders>
            <w:shd w:val="clear" w:color="auto" w:fill="auto"/>
            <w:noWrap/>
            <w:vAlign w:val="center"/>
          </w:tcPr>
          <w:p w14:paraId="7F83E95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57681DB5">
        <w:tblPrEx>
          <w:tblCellMar>
            <w:top w:w="0" w:type="dxa"/>
            <w:left w:w="108" w:type="dxa"/>
            <w:bottom w:w="0" w:type="dxa"/>
            <w:right w:w="108" w:type="dxa"/>
          </w:tblCellMar>
        </w:tblPrEx>
        <w:trPr>
          <w:trHeight w:val="548"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AA06D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w:t>
            </w:r>
          </w:p>
        </w:tc>
        <w:tc>
          <w:tcPr>
            <w:tcW w:w="1762" w:type="dxa"/>
            <w:tcBorders>
              <w:top w:val="single" w:color="auto" w:sz="4" w:space="0"/>
              <w:left w:val="nil"/>
              <w:bottom w:val="single" w:color="auto" w:sz="4" w:space="0"/>
              <w:right w:val="single" w:color="auto" w:sz="4" w:space="0"/>
            </w:tcBorders>
            <w:shd w:val="clear" w:color="auto" w:fill="auto"/>
            <w:vAlign w:val="center"/>
          </w:tcPr>
          <w:p w14:paraId="7910F77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NSE</w:t>
            </w:r>
          </w:p>
        </w:tc>
        <w:tc>
          <w:tcPr>
            <w:tcW w:w="5408" w:type="dxa"/>
            <w:tcBorders>
              <w:top w:val="single" w:color="auto" w:sz="4" w:space="0"/>
              <w:left w:val="nil"/>
              <w:bottom w:val="single" w:color="auto" w:sz="4" w:space="0"/>
              <w:right w:val="single" w:color="auto" w:sz="4" w:space="0"/>
            </w:tcBorders>
            <w:shd w:val="clear" w:color="auto" w:fill="auto"/>
            <w:vAlign w:val="center"/>
          </w:tcPr>
          <w:p w14:paraId="2F14355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主要用于小细胞肺癌和神经母细胞肿瘤的辅助诊断</w:t>
            </w:r>
          </w:p>
        </w:tc>
        <w:tc>
          <w:tcPr>
            <w:tcW w:w="1345" w:type="dxa"/>
            <w:tcBorders>
              <w:top w:val="single" w:color="auto" w:sz="4" w:space="0"/>
              <w:left w:val="nil"/>
              <w:bottom w:val="single" w:color="auto" w:sz="4" w:space="0"/>
              <w:right w:val="single" w:color="auto" w:sz="4" w:space="0"/>
            </w:tcBorders>
            <w:shd w:val="clear" w:color="auto" w:fill="auto"/>
            <w:noWrap/>
            <w:vAlign w:val="center"/>
          </w:tcPr>
          <w:p w14:paraId="46AF63A8">
            <w:pPr>
              <w:spacing w:line="360" w:lineRule="auto"/>
              <w:jc w:val="center"/>
              <w:rPr>
                <w:rFonts w:hint="eastAsia" w:ascii="宋体" w:hAnsi="宋体" w:eastAsia="宋体" w:cs="Times New Roman"/>
                <w:sz w:val="24"/>
                <w:szCs w:val="24"/>
              </w:rPr>
            </w:pPr>
          </w:p>
        </w:tc>
      </w:tr>
      <w:tr w14:paraId="13B2A42F">
        <w:tblPrEx>
          <w:tblCellMar>
            <w:top w:w="0" w:type="dxa"/>
            <w:left w:w="108" w:type="dxa"/>
            <w:bottom w:w="0" w:type="dxa"/>
            <w:right w:w="108" w:type="dxa"/>
          </w:tblCellMar>
        </w:tblPrEx>
        <w:trPr>
          <w:trHeight w:val="548"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967AC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16</w:t>
            </w:r>
          </w:p>
        </w:tc>
        <w:tc>
          <w:tcPr>
            <w:tcW w:w="1762" w:type="dxa"/>
            <w:tcBorders>
              <w:top w:val="single" w:color="auto" w:sz="4" w:space="0"/>
              <w:left w:val="nil"/>
              <w:bottom w:val="single" w:color="auto" w:sz="4" w:space="0"/>
              <w:right w:val="single" w:color="auto" w:sz="4" w:space="0"/>
            </w:tcBorders>
            <w:shd w:val="clear" w:color="auto" w:fill="auto"/>
            <w:vAlign w:val="center"/>
          </w:tcPr>
          <w:p w14:paraId="1AAFD70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甲状腺功能</w:t>
            </w:r>
          </w:p>
        </w:tc>
        <w:tc>
          <w:tcPr>
            <w:tcW w:w="5408" w:type="dxa"/>
            <w:tcBorders>
              <w:top w:val="single" w:color="auto" w:sz="4" w:space="0"/>
              <w:left w:val="nil"/>
              <w:bottom w:val="single" w:color="auto" w:sz="4" w:space="0"/>
              <w:right w:val="single" w:color="auto" w:sz="4" w:space="0"/>
            </w:tcBorders>
            <w:shd w:val="clear" w:color="auto" w:fill="auto"/>
            <w:vAlign w:val="center"/>
          </w:tcPr>
          <w:p w14:paraId="4E7DF56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检查有无甲亢、甲减等病变</w:t>
            </w:r>
          </w:p>
        </w:tc>
        <w:tc>
          <w:tcPr>
            <w:tcW w:w="1345" w:type="dxa"/>
            <w:tcBorders>
              <w:top w:val="single" w:color="auto" w:sz="4" w:space="0"/>
              <w:left w:val="nil"/>
              <w:bottom w:val="single" w:color="auto" w:sz="4" w:space="0"/>
              <w:right w:val="single" w:color="auto" w:sz="4" w:space="0"/>
            </w:tcBorders>
            <w:shd w:val="clear" w:color="auto" w:fill="auto"/>
            <w:noWrap/>
            <w:vAlign w:val="center"/>
          </w:tcPr>
          <w:p w14:paraId="3358351A">
            <w:pPr>
              <w:spacing w:line="360" w:lineRule="auto"/>
              <w:jc w:val="center"/>
              <w:rPr>
                <w:rFonts w:hint="eastAsia" w:ascii="宋体" w:hAnsi="宋体" w:eastAsia="宋体" w:cs="Times New Roman"/>
                <w:sz w:val="24"/>
                <w:szCs w:val="24"/>
              </w:rPr>
            </w:pPr>
          </w:p>
        </w:tc>
      </w:tr>
      <w:tr w14:paraId="60D67613">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605625E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17</w:t>
            </w:r>
          </w:p>
        </w:tc>
        <w:tc>
          <w:tcPr>
            <w:tcW w:w="1762" w:type="dxa"/>
            <w:tcBorders>
              <w:top w:val="nil"/>
              <w:left w:val="nil"/>
              <w:bottom w:val="single" w:color="auto" w:sz="4" w:space="0"/>
              <w:right w:val="single" w:color="auto" w:sz="4" w:space="0"/>
            </w:tcBorders>
            <w:shd w:val="clear" w:color="auto" w:fill="auto"/>
            <w:vAlign w:val="center"/>
          </w:tcPr>
          <w:p w14:paraId="3B193DC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TPSA</w:t>
            </w:r>
          </w:p>
        </w:tc>
        <w:tc>
          <w:tcPr>
            <w:tcW w:w="5408" w:type="dxa"/>
            <w:tcBorders>
              <w:top w:val="nil"/>
              <w:left w:val="nil"/>
              <w:bottom w:val="single" w:color="auto" w:sz="4" w:space="0"/>
              <w:right w:val="single" w:color="auto" w:sz="4" w:space="0"/>
            </w:tcBorders>
            <w:shd w:val="clear" w:color="auto" w:fill="auto"/>
            <w:vAlign w:val="center"/>
          </w:tcPr>
          <w:p w14:paraId="131D2E6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主要用于前列腺癌的筛查</w:t>
            </w:r>
          </w:p>
        </w:tc>
        <w:tc>
          <w:tcPr>
            <w:tcW w:w="1345" w:type="dxa"/>
            <w:tcBorders>
              <w:top w:val="nil"/>
              <w:left w:val="nil"/>
              <w:bottom w:val="single" w:color="auto" w:sz="4" w:space="0"/>
              <w:right w:val="single" w:color="auto" w:sz="4" w:space="0"/>
            </w:tcBorders>
            <w:shd w:val="clear" w:color="auto" w:fill="auto"/>
            <w:noWrap/>
            <w:vAlign w:val="center"/>
          </w:tcPr>
          <w:p w14:paraId="0849335C">
            <w:pPr>
              <w:spacing w:line="360" w:lineRule="auto"/>
              <w:jc w:val="center"/>
              <w:rPr>
                <w:rFonts w:hint="eastAsia" w:ascii="宋体" w:hAnsi="宋体" w:eastAsia="宋体" w:cs="Times New Roman"/>
                <w:sz w:val="24"/>
                <w:szCs w:val="24"/>
              </w:rPr>
            </w:pPr>
          </w:p>
        </w:tc>
      </w:tr>
      <w:tr w14:paraId="21264423">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3143C3D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18</w:t>
            </w:r>
          </w:p>
        </w:tc>
        <w:tc>
          <w:tcPr>
            <w:tcW w:w="1762" w:type="dxa"/>
            <w:tcBorders>
              <w:top w:val="nil"/>
              <w:left w:val="nil"/>
              <w:bottom w:val="single" w:color="auto" w:sz="4" w:space="0"/>
              <w:right w:val="single" w:color="auto" w:sz="4" w:space="0"/>
            </w:tcBorders>
            <w:shd w:val="clear" w:color="auto" w:fill="auto"/>
            <w:vAlign w:val="center"/>
          </w:tcPr>
          <w:p w14:paraId="3ED45BC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FPSA</w:t>
            </w:r>
          </w:p>
        </w:tc>
        <w:tc>
          <w:tcPr>
            <w:tcW w:w="5408" w:type="dxa"/>
            <w:tcBorders>
              <w:top w:val="nil"/>
              <w:left w:val="nil"/>
              <w:bottom w:val="single" w:color="auto" w:sz="4" w:space="0"/>
              <w:right w:val="single" w:color="auto" w:sz="4" w:space="0"/>
            </w:tcBorders>
            <w:shd w:val="clear" w:color="auto" w:fill="auto"/>
            <w:vAlign w:val="center"/>
          </w:tcPr>
          <w:p w14:paraId="424BE4F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主要用于前列腺癌的筛查</w:t>
            </w:r>
          </w:p>
        </w:tc>
        <w:tc>
          <w:tcPr>
            <w:tcW w:w="1345" w:type="dxa"/>
            <w:tcBorders>
              <w:top w:val="nil"/>
              <w:left w:val="nil"/>
              <w:bottom w:val="single" w:color="auto" w:sz="4" w:space="0"/>
              <w:right w:val="single" w:color="auto" w:sz="4" w:space="0"/>
            </w:tcBorders>
            <w:shd w:val="clear" w:color="auto" w:fill="auto"/>
            <w:noWrap/>
            <w:vAlign w:val="center"/>
          </w:tcPr>
          <w:p w14:paraId="6739D4AF">
            <w:pPr>
              <w:spacing w:line="360" w:lineRule="auto"/>
              <w:jc w:val="center"/>
              <w:rPr>
                <w:rFonts w:hint="eastAsia" w:ascii="宋体" w:hAnsi="宋体" w:eastAsia="宋体" w:cs="Times New Roman"/>
                <w:sz w:val="24"/>
                <w:szCs w:val="24"/>
              </w:rPr>
            </w:pPr>
          </w:p>
        </w:tc>
      </w:tr>
      <w:tr w14:paraId="35F13966">
        <w:tblPrEx>
          <w:tblCellMar>
            <w:top w:w="0" w:type="dxa"/>
            <w:left w:w="108" w:type="dxa"/>
            <w:bottom w:w="0" w:type="dxa"/>
            <w:right w:w="108" w:type="dxa"/>
          </w:tblCellMar>
        </w:tblPrEx>
        <w:trPr>
          <w:trHeight w:val="46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6F87686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19</w:t>
            </w:r>
          </w:p>
        </w:tc>
        <w:tc>
          <w:tcPr>
            <w:tcW w:w="1762" w:type="dxa"/>
            <w:tcBorders>
              <w:top w:val="nil"/>
              <w:left w:val="nil"/>
              <w:bottom w:val="single" w:color="auto" w:sz="4" w:space="0"/>
              <w:right w:val="single" w:color="auto" w:sz="4" w:space="0"/>
            </w:tcBorders>
            <w:shd w:val="clear" w:color="auto" w:fill="auto"/>
            <w:vAlign w:val="center"/>
          </w:tcPr>
          <w:p w14:paraId="745892F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心电图</w:t>
            </w:r>
          </w:p>
        </w:tc>
        <w:tc>
          <w:tcPr>
            <w:tcW w:w="5408" w:type="dxa"/>
            <w:tcBorders>
              <w:top w:val="nil"/>
              <w:left w:val="nil"/>
              <w:bottom w:val="single" w:color="auto" w:sz="4" w:space="0"/>
              <w:right w:val="single" w:color="auto" w:sz="4" w:space="0"/>
            </w:tcBorders>
            <w:shd w:val="clear" w:color="auto" w:fill="auto"/>
            <w:vAlign w:val="center"/>
          </w:tcPr>
          <w:p w14:paraId="6119395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检查有无心律失常、心肌病变等</w:t>
            </w:r>
          </w:p>
        </w:tc>
        <w:tc>
          <w:tcPr>
            <w:tcW w:w="1345" w:type="dxa"/>
            <w:tcBorders>
              <w:top w:val="nil"/>
              <w:left w:val="nil"/>
              <w:bottom w:val="single" w:color="auto" w:sz="4" w:space="0"/>
              <w:right w:val="single" w:color="auto" w:sz="4" w:space="0"/>
            </w:tcBorders>
            <w:shd w:val="clear" w:color="auto" w:fill="auto"/>
            <w:noWrap/>
            <w:vAlign w:val="center"/>
          </w:tcPr>
          <w:p w14:paraId="6D99E94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166ED18B">
        <w:tblPrEx>
          <w:tblCellMar>
            <w:top w:w="0" w:type="dxa"/>
            <w:left w:w="108" w:type="dxa"/>
            <w:bottom w:w="0" w:type="dxa"/>
            <w:right w:w="108" w:type="dxa"/>
          </w:tblCellMar>
        </w:tblPrEx>
        <w:trPr>
          <w:trHeight w:val="465"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7E75C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20</w:t>
            </w:r>
          </w:p>
        </w:tc>
        <w:tc>
          <w:tcPr>
            <w:tcW w:w="1762" w:type="dxa"/>
            <w:tcBorders>
              <w:top w:val="single" w:color="auto" w:sz="4" w:space="0"/>
              <w:left w:val="nil"/>
              <w:bottom w:val="single" w:color="auto" w:sz="4" w:space="0"/>
              <w:right w:val="single" w:color="auto" w:sz="4" w:space="0"/>
            </w:tcBorders>
            <w:shd w:val="clear" w:color="auto" w:fill="auto"/>
            <w:vAlign w:val="center"/>
          </w:tcPr>
          <w:p w14:paraId="544DD6A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C13或者C14呼气试验</w:t>
            </w:r>
          </w:p>
        </w:tc>
        <w:tc>
          <w:tcPr>
            <w:tcW w:w="5408" w:type="dxa"/>
            <w:tcBorders>
              <w:top w:val="single" w:color="auto" w:sz="4" w:space="0"/>
              <w:left w:val="nil"/>
              <w:bottom w:val="single" w:color="auto" w:sz="4" w:space="0"/>
              <w:right w:val="single" w:color="auto" w:sz="4" w:space="0"/>
            </w:tcBorders>
            <w:shd w:val="clear" w:color="auto" w:fill="auto"/>
            <w:vAlign w:val="center"/>
          </w:tcPr>
          <w:p w14:paraId="303C743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胃、十二指肠疾病幽门螺杆菌感染诊断，抗幽门螺杆菌药物疗效的评价</w:t>
            </w:r>
          </w:p>
        </w:tc>
        <w:tc>
          <w:tcPr>
            <w:tcW w:w="1345" w:type="dxa"/>
            <w:tcBorders>
              <w:top w:val="single" w:color="auto" w:sz="4" w:space="0"/>
              <w:left w:val="nil"/>
              <w:bottom w:val="single" w:color="auto" w:sz="4" w:space="0"/>
              <w:right w:val="single" w:color="auto" w:sz="4" w:space="0"/>
            </w:tcBorders>
            <w:shd w:val="clear" w:color="auto" w:fill="auto"/>
            <w:noWrap/>
            <w:vAlign w:val="center"/>
          </w:tcPr>
          <w:p w14:paraId="73EDB43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1A1654D8">
        <w:tblPrEx>
          <w:tblCellMar>
            <w:top w:w="0" w:type="dxa"/>
            <w:left w:w="108" w:type="dxa"/>
            <w:bottom w:w="0" w:type="dxa"/>
            <w:right w:w="108" w:type="dxa"/>
          </w:tblCellMar>
        </w:tblPrEx>
        <w:trPr>
          <w:trHeight w:val="55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2638870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21</w:t>
            </w:r>
          </w:p>
        </w:tc>
        <w:tc>
          <w:tcPr>
            <w:tcW w:w="1762" w:type="dxa"/>
            <w:tcBorders>
              <w:top w:val="nil"/>
              <w:left w:val="nil"/>
              <w:bottom w:val="single" w:color="auto" w:sz="4" w:space="0"/>
              <w:right w:val="single" w:color="auto" w:sz="4" w:space="0"/>
            </w:tcBorders>
            <w:shd w:val="clear" w:color="auto" w:fill="auto"/>
            <w:vAlign w:val="center"/>
          </w:tcPr>
          <w:p w14:paraId="3779BA3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低剂量胸部螺旋CT</w:t>
            </w:r>
          </w:p>
        </w:tc>
        <w:tc>
          <w:tcPr>
            <w:tcW w:w="5408" w:type="dxa"/>
            <w:tcBorders>
              <w:top w:val="nil"/>
              <w:left w:val="nil"/>
              <w:bottom w:val="single" w:color="auto" w:sz="4" w:space="0"/>
              <w:right w:val="single" w:color="auto" w:sz="4" w:space="0"/>
            </w:tcBorders>
            <w:shd w:val="clear" w:color="auto" w:fill="auto"/>
            <w:vAlign w:val="center"/>
          </w:tcPr>
          <w:p w14:paraId="3D35DE6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对直径小于1厘米的小肺癌，低剂量螺旋CT的检出阳性率较高</w:t>
            </w:r>
          </w:p>
        </w:tc>
        <w:tc>
          <w:tcPr>
            <w:tcW w:w="1345" w:type="dxa"/>
            <w:tcBorders>
              <w:top w:val="nil"/>
              <w:left w:val="nil"/>
              <w:bottom w:val="single" w:color="auto" w:sz="4" w:space="0"/>
              <w:right w:val="single" w:color="auto" w:sz="4" w:space="0"/>
            </w:tcBorders>
            <w:shd w:val="clear" w:color="auto" w:fill="auto"/>
            <w:noWrap/>
            <w:vAlign w:val="center"/>
          </w:tcPr>
          <w:p w14:paraId="51C6A4B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7C5AFD78">
        <w:tblPrEx>
          <w:tblCellMar>
            <w:top w:w="0" w:type="dxa"/>
            <w:left w:w="108" w:type="dxa"/>
            <w:bottom w:w="0" w:type="dxa"/>
            <w:right w:w="108" w:type="dxa"/>
          </w:tblCellMar>
        </w:tblPrEx>
        <w:trPr>
          <w:trHeight w:val="40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B08074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22</w:t>
            </w:r>
          </w:p>
        </w:tc>
        <w:tc>
          <w:tcPr>
            <w:tcW w:w="1762" w:type="dxa"/>
            <w:tcBorders>
              <w:top w:val="nil"/>
              <w:left w:val="nil"/>
              <w:bottom w:val="single" w:color="auto" w:sz="4" w:space="0"/>
              <w:right w:val="single" w:color="auto" w:sz="4" w:space="0"/>
            </w:tcBorders>
            <w:shd w:val="clear" w:color="auto" w:fill="auto"/>
            <w:vAlign w:val="center"/>
          </w:tcPr>
          <w:p w14:paraId="688FEAE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腹部彩超全套</w:t>
            </w:r>
          </w:p>
        </w:tc>
        <w:tc>
          <w:tcPr>
            <w:tcW w:w="5408" w:type="dxa"/>
            <w:tcBorders>
              <w:top w:val="nil"/>
              <w:left w:val="nil"/>
              <w:bottom w:val="single" w:color="auto" w:sz="4" w:space="0"/>
              <w:right w:val="single" w:color="auto" w:sz="4" w:space="0"/>
            </w:tcBorders>
            <w:shd w:val="clear" w:color="auto" w:fill="auto"/>
            <w:vAlign w:val="center"/>
          </w:tcPr>
          <w:p w14:paraId="6373568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检查有无占位性病变、脂肪肝、肝胆结石等疾病</w:t>
            </w:r>
          </w:p>
        </w:tc>
        <w:tc>
          <w:tcPr>
            <w:tcW w:w="1345" w:type="dxa"/>
            <w:tcBorders>
              <w:top w:val="nil"/>
              <w:left w:val="nil"/>
              <w:bottom w:val="single" w:color="auto" w:sz="4" w:space="0"/>
              <w:right w:val="single" w:color="auto" w:sz="4" w:space="0"/>
            </w:tcBorders>
            <w:shd w:val="clear" w:color="auto" w:fill="auto"/>
            <w:noWrap/>
            <w:vAlign w:val="center"/>
          </w:tcPr>
          <w:p w14:paraId="7B4E952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2C7059FD">
        <w:tblPrEx>
          <w:tblCellMar>
            <w:top w:w="0" w:type="dxa"/>
            <w:left w:w="108" w:type="dxa"/>
            <w:bottom w:w="0" w:type="dxa"/>
            <w:right w:w="108" w:type="dxa"/>
          </w:tblCellMar>
        </w:tblPrEx>
        <w:trPr>
          <w:trHeight w:val="33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15F8BDB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23</w:t>
            </w:r>
          </w:p>
        </w:tc>
        <w:tc>
          <w:tcPr>
            <w:tcW w:w="1762" w:type="dxa"/>
            <w:tcBorders>
              <w:top w:val="nil"/>
              <w:left w:val="nil"/>
              <w:bottom w:val="single" w:color="auto" w:sz="4" w:space="0"/>
              <w:right w:val="single" w:color="auto" w:sz="4" w:space="0"/>
            </w:tcBorders>
            <w:shd w:val="clear" w:color="auto" w:fill="auto"/>
            <w:vAlign w:val="center"/>
          </w:tcPr>
          <w:p w14:paraId="4C770F9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颈动脉彩超</w:t>
            </w:r>
          </w:p>
        </w:tc>
        <w:tc>
          <w:tcPr>
            <w:tcW w:w="5408" w:type="dxa"/>
            <w:tcBorders>
              <w:top w:val="nil"/>
              <w:left w:val="nil"/>
              <w:bottom w:val="single" w:color="auto" w:sz="4" w:space="0"/>
              <w:right w:val="single" w:color="auto" w:sz="4" w:space="0"/>
            </w:tcBorders>
            <w:shd w:val="clear" w:color="auto" w:fill="auto"/>
            <w:vAlign w:val="center"/>
          </w:tcPr>
          <w:p w14:paraId="14466B2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了解颈部大血管情况，有无颈动脉硬化、斑块形成、管腔狭窄、畸形等</w:t>
            </w:r>
          </w:p>
        </w:tc>
        <w:tc>
          <w:tcPr>
            <w:tcW w:w="1345" w:type="dxa"/>
            <w:tcBorders>
              <w:top w:val="nil"/>
              <w:left w:val="nil"/>
              <w:bottom w:val="single" w:color="auto" w:sz="4" w:space="0"/>
              <w:right w:val="single" w:color="auto" w:sz="4" w:space="0"/>
            </w:tcBorders>
            <w:shd w:val="clear" w:color="auto" w:fill="auto"/>
            <w:noWrap/>
            <w:vAlign w:val="center"/>
          </w:tcPr>
          <w:p w14:paraId="2DA38A6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3FF213C0">
        <w:tblPrEx>
          <w:tblCellMar>
            <w:top w:w="0" w:type="dxa"/>
            <w:left w:w="108" w:type="dxa"/>
            <w:bottom w:w="0" w:type="dxa"/>
            <w:right w:w="108" w:type="dxa"/>
          </w:tblCellMar>
        </w:tblPrEx>
        <w:trPr>
          <w:trHeight w:val="33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4C37D4A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24</w:t>
            </w:r>
          </w:p>
        </w:tc>
        <w:tc>
          <w:tcPr>
            <w:tcW w:w="1762" w:type="dxa"/>
            <w:tcBorders>
              <w:top w:val="nil"/>
              <w:left w:val="nil"/>
              <w:bottom w:val="single" w:color="auto" w:sz="4" w:space="0"/>
              <w:right w:val="single" w:color="auto" w:sz="4" w:space="0"/>
            </w:tcBorders>
            <w:shd w:val="clear" w:color="auto" w:fill="auto"/>
            <w:vAlign w:val="center"/>
          </w:tcPr>
          <w:p w14:paraId="36A1269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甲状腺彩超</w:t>
            </w:r>
          </w:p>
        </w:tc>
        <w:tc>
          <w:tcPr>
            <w:tcW w:w="5408" w:type="dxa"/>
            <w:tcBorders>
              <w:top w:val="nil"/>
              <w:left w:val="nil"/>
              <w:bottom w:val="single" w:color="auto" w:sz="4" w:space="0"/>
              <w:right w:val="single" w:color="auto" w:sz="4" w:space="0"/>
            </w:tcBorders>
            <w:shd w:val="clear" w:color="auto" w:fill="auto"/>
            <w:vAlign w:val="center"/>
          </w:tcPr>
          <w:p w14:paraId="54354ED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了解甲状腺是否有结节、肿瘤等情况</w:t>
            </w:r>
          </w:p>
        </w:tc>
        <w:tc>
          <w:tcPr>
            <w:tcW w:w="1345" w:type="dxa"/>
            <w:tcBorders>
              <w:top w:val="nil"/>
              <w:left w:val="nil"/>
              <w:bottom w:val="single" w:color="auto" w:sz="4" w:space="0"/>
              <w:right w:val="single" w:color="auto" w:sz="4" w:space="0"/>
            </w:tcBorders>
            <w:shd w:val="clear" w:color="auto" w:fill="auto"/>
            <w:noWrap/>
            <w:vAlign w:val="center"/>
          </w:tcPr>
          <w:p w14:paraId="1F7F612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4DB54933">
        <w:tblPrEx>
          <w:tblCellMar>
            <w:top w:w="0" w:type="dxa"/>
            <w:left w:w="108" w:type="dxa"/>
            <w:bottom w:w="0" w:type="dxa"/>
            <w:right w:w="108" w:type="dxa"/>
          </w:tblCellMar>
        </w:tblPrEx>
        <w:trPr>
          <w:trHeight w:val="33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4C5FF16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25</w:t>
            </w:r>
          </w:p>
        </w:tc>
        <w:tc>
          <w:tcPr>
            <w:tcW w:w="1762" w:type="dxa"/>
            <w:tcBorders>
              <w:top w:val="nil"/>
              <w:left w:val="nil"/>
              <w:bottom w:val="single" w:color="auto" w:sz="4" w:space="0"/>
              <w:right w:val="single" w:color="auto" w:sz="4" w:space="0"/>
            </w:tcBorders>
            <w:shd w:val="clear" w:color="auto" w:fill="auto"/>
            <w:vAlign w:val="center"/>
          </w:tcPr>
          <w:p w14:paraId="3C4E565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经颅彩色多普勒</w:t>
            </w:r>
          </w:p>
        </w:tc>
        <w:tc>
          <w:tcPr>
            <w:tcW w:w="5408" w:type="dxa"/>
            <w:tcBorders>
              <w:top w:val="nil"/>
              <w:left w:val="nil"/>
              <w:bottom w:val="single" w:color="auto" w:sz="4" w:space="0"/>
              <w:right w:val="single" w:color="auto" w:sz="4" w:space="0"/>
            </w:tcBorders>
            <w:shd w:val="clear" w:color="auto" w:fill="auto"/>
            <w:vAlign w:val="center"/>
          </w:tcPr>
          <w:p w14:paraId="306EB8E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检查颅脑血管有无痉挛、供血不足等</w:t>
            </w:r>
          </w:p>
        </w:tc>
        <w:tc>
          <w:tcPr>
            <w:tcW w:w="1345" w:type="dxa"/>
            <w:tcBorders>
              <w:top w:val="nil"/>
              <w:left w:val="nil"/>
              <w:bottom w:val="single" w:color="auto" w:sz="4" w:space="0"/>
              <w:right w:val="single" w:color="auto" w:sz="4" w:space="0"/>
            </w:tcBorders>
            <w:shd w:val="clear" w:color="auto" w:fill="auto"/>
            <w:noWrap/>
            <w:vAlign w:val="center"/>
          </w:tcPr>
          <w:p w14:paraId="38BBB4D1">
            <w:pPr>
              <w:spacing w:line="360" w:lineRule="auto"/>
              <w:jc w:val="center"/>
              <w:rPr>
                <w:rFonts w:hint="eastAsia" w:ascii="宋体" w:hAnsi="宋体" w:eastAsia="宋体" w:cs="Times New Roman"/>
                <w:sz w:val="24"/>
                <w:szCs w:val="24"/>
              </w:rPr>
            </w:pPr>
          </w:p>
        </w:tc>
      </w:tr>
    </w:tbl>
    <w:p w14:paraId="5D1DFC65">
      <w:pPr>
        <w:spacing w:line="360" w:lineRule="auto"/>
        <w:jc w:val="center"/>
        <w:rPr>
          <w:rFonts w:hint="eastAsia" w:ascii="宋体" w:hAnsi="宋体" w:eastAsia="宋体" w:cs="Times New Roman"/>
          <w:sz w:val="24"/>
          <w:szCs w:val="24"/>
        </w:rPr>
      </w:pPr>
    </w:p>
    <w:p w14:paraId="0685855F">
      <w:pPr>
        <w:spacing w:line="360" w:lineRule="auto"/>
        <w:jc w:val="center"/>
        <w:rPr>
          <w:rFonts w:hint="eastAsia" w:ascii="宋体" w:hAnsi="宋体" w:eastAsia="宋体" w:cs="Times New Roman"/>
          <w:sz w:val="32"/>
          <w:szCs w:val="32"/>
        </w:rPr>
      </w:pPr>
      <w:r>
        <w:rPr>
          <w:rFonts w:hint="eastAsia" w:ascii="宋体" w:hAnsi="宋体" w:eastAsia="宋体" w:cs="Times New Roman"/>
          <w:sz w:val="32"/>
          <w:szCs w:val="32"/>
        </w:rPr>
        <w:t>2．自选套餐</w:t>
      </w:r>
    </w:p>
    <w:tbl>
      <w:tblPr>
        <w:tblStyle w:val="23"/>
        <w:tblW w:w="9194"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762"/>
        <w:gridCol w:w="5408"/>
        <w:gridCol w:w="1391"/>
      </w:tblGrid>
      <w:tr w14:paraId="1A76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restart"/>
            <w:shd w:val="clear" w:color="auto" w:fill="auto"/>
            <w:noWrap/>
            <w:vAlign w:val="center"/>
          </w:tcPr>
          <w:p w14:paraId="107BE9C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套餐</w:t>
            </w:r>
          </w:p>
          <w:p w14:paraId="78B2864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1762" w:type="dxa"/>
            <w:shd w:val="clear" w:color="auto" w:fill="auto"/>
            <w:vAlign w:val="center"/>
          </w:tcPr>
          <w:p w14:paraId="05D81B5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腰椎CT</w:t>
            </w:r>
          </w:p>
        </w:tc>
        <w:tc>
          <w:tcPr>
            <w:tcW w:w="5408" w:type="dxa"/>
            <w:shd w:val="clear" w:color="auto" w:fill="auto"/>
            <w:vAlign w:val="center"/>
          </w:tcPr>
          <w:p w14:paraId="3E5BF59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清楚地显示椎间盘突出的部位、大小、形态，是腰椎间盘突出诊断中极为重要的依据</w:t>
            </w:r>
          </w:p>
        </w:tc>
        <w:tc>
          <w:tcPr>
            <w:tcW w:w="1391" w:type="dxa"/>
            <w:vMerge w:val="restart"/>
            <w:shd w:val="clear" w:color="auto" w:fill="auto"/>
            <w:vAlign w:val="center"/>
          </w:tcPr>
          <w:p w14:paraId="78F735B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四选二</w:t>
            </w:r>
          </w:p>
        </w:tc>
      </w:tr>
      <w:tr w14:paraId="272C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1F237A74">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5343251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颈椎CT</w:t>
            </w:r>
          </w:p>
        </w:tc>
        <w:tc>
          <w:tcPr>
            <w:tcW w:w="5408" w:type="dxa"/>
            <w:shd w:val="clear" w:color="auto" w:fill="auto"/>
            <w:vAlign w:val="center"/>
          </w:tcPr>
          <w:p w14:paraId="56B5665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xml:space="preserve">确认是否存在明显的骨化、钙化或者颈椎管狭窄 </w:t>
            </w:r>
          </w:p>
        </w:tc>
        <w:tc>
          <w:tcPr>
            <w:tcW w:w="1391" w:type="dxa"/>
            <w:vMerge w:val="continue"/>
            <w:shd w:val="clear" w:color="auto" w:fill="auto"/>
            <w:noWrap/>
            <w:vAlign w:val="center"/>
          </w:tcPr>
          <w:p w14:paraId="7B1D1B5B">
            <w:pPr>
              <w:spacing w:line="360" w:lineRule="auto"/>
              <w:jc w:val="center"/>
              <w:rPr>
                <w:rFonts w:hint="eastAsia" w:ascii="宋体" w:hAnsi="宋体" w:eastAsia="宋体" w:cs="Times New Roman"/>
                <w:sz w:val="24"/>
                <w:szCs w:val="24"/>
              </w:rPr>
            </w:pPr>
          </w:p>
        </w:tc>
      </w:tr>
      <w:tr w14:paraId="7420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61B4F9D1">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3C5840E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腹部CT</w:t>
            </w:r>
          </w:p>
        </w:tc>
        <w:tc>
          <w:tcPr>
            <w:tcW w:w="5408" w:type="dxa"/>
            <w:shd w:val="clear" w:color="auto" w:fill="auto"/>
            <w:vAlign w:val="center"/>
          </w:tcPr>
          <w:p w14:paraId="2678AEB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检查腹部脏器有无占位等情况</w:t>
            </w:r>
          </w:p>
        </w:tc>
        <w:tc>
          <w:tcPr>
            <w:tcW w:w="1391" w:type="dxa"/>
            <w:vMerge w:val="continue"/>
            <w:shd w:val="clear" w:color="auto" w:fill="auto"/>
            <w:noWrap/>
            <w:vAlign w:val="center"/>
          </w:tcPr>
          <w:p w14:paraId="77F3863D">
            <w:pPr>
              <w:spacing w:line="360" w:lineRule="auto"/>
              <w:jc w:val="center"/>
              <w:rPr>
                <w:rFonts w:hint="eastAsia" w:ascii="宋体" w:hAnsi="宋体" w:eastAsia="宋体" w:cs="Times New Roman"/>
                <w:sz w:val="24"/>
                <w:szCs w:val="24"/>
              </w:rPr>
            </w:pPr>
          </w:p>
        </w:tc>
      </w:tr>
      <w:tr w14:paraId="542D1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511227C2">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1A111DD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头颅CT</w:t>
            </w:r>
          </w:p>
        </w:tc>
        <w:tc>
          <w:tcPr>
            <w:tcW w:w="5408" w:type="dxa"/>
            <w:shd w:val="clear" w:color="auto" w:fill="auto"/>
            <w:vAlign w:val="center"/>
          </w:tcPr>
          <w:p w14:paraId="3F426EA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筛查各种神经系统疾病最常用的检查方法</w:t>
            </w:r>
          </w:p>
        </w:tc>
        <w:tc>
          <w:tcPr>
            <w:tcW w:w="1391" w:type="dxa"/>
            <w:vMerge w:val="continue"/>
            <w:shd w:val="clear" w:color="auto" w:fill="auto"/>
            <w:noWrap/>
            <w:vAlign w:val="center"/>
          </w:tcPr>
          <w:p w14:paraId="75319BE0">
            <w:pPr>
              <w:spacing w:line="360" w:lineRule="auto"/>
              <w:jc w:val="center"/>
              <w:rPr>
                <w:rFonts w:hint="eastAsia" w:ascii="宋体" w:hAnsi="宋体" w:eastAsia="宋体" w:cs="Times New Roman"/>
                <w:sz w:val="24"/>
                <w:szCs w:val="24"/>
              </w:rPr>
            </w:pPr>
          </w:p>
        </w:tc>
      </w:tr>
      <w:tr w14:paraId="51492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restart"/>
            <w:shd w:val="clear" w:color="auto" w:fill="auto"/>
            <w:noWrap/>
            <w:vAlign w:val="center"/>
          </w:tcPr>
          <w:p w14:paraId="41C5317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套餐</w:t>
            </w:r>
          </w:p>
          <w:p w14:paraId="116EB50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1762" w:type="dxa"/>
            <w:shd w:val="clear" w:color="auto" w:fill="auto"/>
            <w:vAlign w:val="center"/>
          </w:tcPr>
          <w:p w14:paraId="3F75C8E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无痛胃镜</w:t>
            </w:r>
          </w:p>
        </w:tc>
        <w:tc>
          <w:tcPr>
            <w:tcW w:w="5408" w:type="dxa"/>
            <w:shd w:val="clear" w:color="auto" w:fill="auto"/>
            <w:vAlign w:val="center"/>
          </w:tcPr>
          <w:p w14:paraId="4DF8E6A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食道、胃部炎症、息肉及其他病变</w:t>
            </w:r>
          </w:p>
        </w:tc>
        <w:tc>
          <w:tcPr>
            <w:tcW w:w="1391" w:type="dxa"/>
            <w:vMerge w:val="restart"/>
            <w:shd w:val="clear" w:color="auto" w:fill="auto"/>
            <w:noWrap/>
            <w:vAlign w:val="center"/>
          </w:tcPr>
          <w:p w14:paraId="2C37051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六选一</w:t>
            </w:r>
          </w:p>
        </w:tc>
      </w:tr>
      <w:tr w14:paraId="5BD1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43C02AF5">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2C4445D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无痛肠镜</w:t>
            </w:r>
          </w:p>
        </w:tc>
        <w:tc>
          <w:tcPr>
            <w:tcW w:w="5408" w:type="dxa"/>
            <w:shd w:val="clear" w:color="auto" w:fill="auto"/>
            <w:vAlign w:val="center"/>
          </w:tcPr>
          <w:p w14:paraId="33E43C9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肠道炎症、溃疡、息肉及其他病变</w:t>
            </w:r>
          </w:p>
        </w:tc>
        <w:tc>
          <w:tcPr>
            <w:tcW w:w="1391" w:type="dxa"/>
            <w:vMerge w:val="continue"/>
            <w:shd w:val="clear" w:color="auto" w:fill="auto"/>
            <w:noWrap/>
            <w:vAlign w:val="center"/>
          </w:tcPr>
          <w:p w14:paraId="51463B4A">
            <w:pPr>
              <w:spacing w:line="360" w:lineRule="auto"/>
              <w:jc w:val="center"/>
              <w:rPr>
                <w:rFonts w:hint="eastAsia" w:ascii="宋体" w:hAnsi="宋体" w:eastAsia="宋体" w:cs="Times New Roman"/>
                <w:sz w:val="24"/>
                <w:szCs w:val="24"/>
              </w:rPr>
            </w:pPr>
          </w:p>
        </w:tc>
      </w:tr>
      <w:tr w14:paraId="6047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2C042B4B">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7945A49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头颅核磁共振</w:t>
            </w:r>
          </w:p>
        </w:tc>
        <w:tc>
          <w:tcPr>
            <w:tcW w:w="5408" w:type="dxa"/>
            <w:shd w:val="clear" w:color="auto" w:fill="auto"/>
            <w:vAlign w:val="center"/>
          </w:tcPr>
          <w:p w14:paraId="6AA38BF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筛查各种神经系统疾病最常用的检查方法</w:t>
            </w:r>
          </w:p>
        </w:tc>
        <w:tc>
          <w:tcPr>
            <w:tcW w:w="1391" w:type="dxa"/>
            <w:vMerge w:val="continue"/>
            <w:shd w:val="clear" w:color="auto" w:fill="auto"/>
            <w:noWrap/>
            <w:vAlign w:val="center"/>
          </w:tcPr>
          <w:p w14:paraId="511585BE">
            <w:pPr>
              <w:spacing w:line="360" w:lineRule="auto"/>
              <w:jc w:val="center"/>
              <w:rPr>
                <w:rFonts w:hint="eastAsia" w:ascii="宋体" w:hAnsi="宋体" w:eastAsia="宋体" w:cs="Times New Roman"/>
                <w:sz w:val="24"/>
                <w:szCs w:val="24"/>
              </w:rPr>
            </w:pPr>
          </w:p>
        </w:tc>
      </w:tr>
      <w:tr w14:paraId="470D6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35BE9393">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2DFF1B7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腰椎核磁共振</w:t>
            </w:r>
          </w:p>
        </w:tc>
        <w:tc>
          <w:tcPr>
            <w:tcW w:w="5408" w:type="dxa"/>
            <w:shd w:val="clear" w:color="auto" w:fill="auto"/>
            <w:vAlign w:val="center"/>
          </w:tcPr>
          <w:p w14:paraId="2A120D3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清楚地显示椎间盘突出的部位、大小、形态，是腰椎间盘突出诊断中极为重要的依据</w:t>
            </w:r>
          </w:p>
        </w:tc>
        <w:tc>
          <w:tcPr>
            <w:tcW w:w="1391" w:type="dxa"/>
            <w:vMerge w:val="continue"/>
            <w:shd w:val="clear" w:color="auto" w:fill="auto"/>
            <w:noWrap/>
            <w:vAlign w:val="center"/>
          </w:tcPr>
          <w:p w14:paraId="74230791">
            <w:pPr>
              <w:spacing w:line="360" w:lineRule="auto"/>
              <w:jc w:val="center"/>
              <w:rPr>
                <w:rFonts w:hint="eastAsia" w:ascii="宋体" w:hAnsi="宋体" w:eastAsia="宋体" w:cs="Times New Roman"/>
                <w:sz w:val="24"/>
                <w:szCs w:val="24"/>
              </w:rPr>
            </w:pPr>
          </w:p>
        </w:tc>
      </w:tr>
      <w:tr w14:paraId="596A3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7E2D3997">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1EAAD58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颈椎核磁共振</w:t>
            </w:r>
          </w:p>
        </w:tc>
        <w:tc>
          <w:tcPr>
            <w:tcW w:w="5408" w:type="dxa"/>
            <w:shd w:val="clear" w:color="auto" w:fill="auto"/>
            <w:vAlign w:val="center"/>
          </w:tcPr>
          <w:p w14:paraId="79B3244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xml:space="preserve">确认是否存在明显的骨化、钙化或者颈椎管狭窄 </w:t>
            </w:r>
          </w:p>
        </w:tc>
        <w:tc>
          <w:tcPr>
            <w:tcW w:w="1391" w:type="dxa"/>
            <w:vMerge w:val="continue"/>
            <w:shd w:val="clear" w:color="auto" w:fill="auto"/>
            <w:noWrap/>
            <w:vAlign w:val="center"/>
          </w:tcPr>
          <w:p w14:paraId="063A2BD5">
            <w:pPr>
              <w:spacing w:line="360" w:lineRule="auto"/>
              <w:jc w:val="center"/>
              <w:rPr>
                <w:rFonts w:hint="eastAsia" w:ascii="宋体" w:hAnsi="宋体" w:eastAsia="宋体" w:cs="Times New Roman"/>
                <w:sz w:val="24"/>
                <w:szCs w:val="24"/>
              </w:rPr>
            </w:pPr>
          </w:p>
        </w:tc>
      </w:tr>
      <w:tr w14:paraId="7088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5584EB66">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677C0F1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腹部核磁共振</w:t>
            </w:r>
          </w:p>
        </w:tc>
        <w:tc>
          <w:tcPr>
            <w:tcW w:w="5408" w:type="dxa"/>
            <w:shd w:val="clear" w:color="auto" w:fill="auto"/>
            <w:vAlign w:val="center"/>
          </w:tcPr>
          <w:p w14:paraId="1BA54A1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检查腹部脏器有无占位等情况</w:t>
            </w:r>
          </w:p>
        </w:tc>
        <w:tc>
          <w:tcPr>
            <w:tcW w:w="1391" w:type="dxa"/>
            <w:vMerge w:val="continue"/>
            <w:shd w:val="clear" w:color="auto" w:fill="auto"/>
            <w:noWrap/>
            <w:vAlign w:val="center"/>
          </w:tcPr>
          <w:p w14:paraId="371854EE">
            <w:pPr>
              <w:spacing w:line="360" w:lineRule="auto"/>
              <w:jc w:val="center"/>
              <w:rPr>
                <w:rFonts w:hint="eastAsia" w:ascii="宋体" w:hAnsi="宋体" w:eastAsia="宋体" w:cs="Times New Roman"/>
                <w:sz w:val="24"/>
                <w:szCs w:val="24"/>
              </w:rPr>
            </w:pPr>
          </w:p>
        </w:tc>
      </w:tr>
      <w:tr w14:paraId="7BF3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restart"/>
            <w:shd w:val="clear" w:color="auto" w:fill="auto"/>
            <w:noWrap/>
            <w:vAlign w:val="center"/>
          </w:tcPr>
          <w:p w14:paraId="0DD9304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套餐</w:t>
            </w:r>
          </w:p>
          <w:p w14:paraId="0E7ECCF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1762" w:type="dxa"/>
            <w:shd w:val="clear" w:color="auto" w:fill="auto"/>
            <w:vAlign w:val="center"/>
          </w:tcPr>
          <w:p w14:paraId="30B958F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骨密度</w:t>
            </w:r>
          </w:p>
        </w:tc>
        <w:tc>
          <w:tcPr>
            <w:tcW w:w="5408" w:type="dxa"/>
            <w:shd w:val="clear" w:color="auto" w:fill="auto"/>
            <w:vAlign w:val="center"/>
          </w:tcPr>
          <w:p w14:paraId="48ABE9D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诊断有无骨质减少、骨质疏松，预测骨折危险性</w:t>
            </w:r>
          </w:p>
        </w:tc>
        <w:tc>
          <w:tcPr>
            <w:tcW w:w="1391" w:type="dxa"/>
            <w:vMerge w:val="restart"/>
            <w:shd w:val="clear" w:color="auto" w:fill="auto"/>
            <w:noWrap/>
            <w:vAlign w:val="center"/>
          </w:tcPr>
          <w:p w14:paraId="1A61012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心脏彩超需另外预约时间，（周一到周五下午）</w:t>
            </w:r>
          </w:p>
        </w:tc>
      </w:tr>
      <w:tr w14:paraId="6DB8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4680AFAF">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0ACFBA0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动脉硬化检测</w:t>
            </w:r>
          </w:p>
        </w:tc>
        <w:tc>
          <w:tcPr>
            <w:tcW w:w="5408" w:type="dxa"/>
            <w:shd w:val="clear" w:color="auto" w:fill="auto"/>
            <w:vAlign w:val="center"/>
          </w:tcPr>
          <w:p w14:paraId="19E1C17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四肢动脉硬化测定</w:t>
            </w:r>
          </w:p>
        </w:tc>
        <w:tc>
          <w:tcPr>
            <w:tcW w:w="1391" w:type="dxa"/>
            <w:vMerge w:val="continue"/>
            <w:shd w:val="clear" w:color="auto" w:fill="auto"/>
            <w:noWrap/>
            <w:vAlign w:val="center"/>
          </w:tcPr>
          <w:p w14:paraId="39A65A50">
            <w:pPr>
              <w:spacing w:line="360" w:lineRule="auto"/>
              <w:jc w:val="center"/>
              <w:rPr>
                <w:rFonts w:hint="eastAsia" w:ascii="宋体" w:hAnsi="宋体" w:eastAsia="宋体" w:cs="Times New Roman"/>
                <w:sz w:val="24"/>
                <w:szCs w:val="24"/>
              </w:rPr>
            </w:pPr>
          </w:p>
        </w:tc>
      </w:tr>
      <w:tr w14:paraId="6D8EF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39CBFE6B">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3C0E588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心脏彩超</w:t>
            </w:r>
          </w:p>
        </w:tc>
        <w:tc>
          <w:tcPr>
            <w:tcW w:w="5408" w:type="dxa"/>
            <w:shd w:val="clear" w:color="auto" w:fill="auto"/>
            <w:vAlign w:val="center"/>
          </w:tcPr>
          <w:p w14:paraId="1A729D3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检查心脏有无器质性病变</w:t>
            </w:r>
          </w:p>
        </w:tc>
        <w:tc>
          <w:tcPr>
            <w:tcW w:w="1391" w:type="dxa"/>
            <w:vMerge w:val="continue"/>
            <w:shd w:val="clear" w:color="auto" w:fill="auto"/>
            <w:noWrap/>
            <w:vAlign w:val="center"/>
          </w:tcPr>
          <w:p w14:paraId="2ACD807F">
            <w:pPr>
              <w:spacing w:line="360" w:lineRule="auto"/>
              <w:jc w:val="center"/>
              <w:rPr>
                <w:rFonts w:hint="eastAsia" w:ascii="宋体" w:hAnsi="宋体" w:eastAsia="宋体" w:cs="Times New Roman"/>
                <w:sz w:val="24"/>
                <w:szCs w:val="24"/>
              </w:rPr>
            </w:pPr>
          </w:p>
        </w:tc>
      </w:tr>
    </w:tbl>
    <w:p w14:paraId="553600D8">
      <w:pPr>
        <w:spacing w:line="360" w:lineRule="auto"/>
        <w:jc w:val="center"/>
        <w:rPr>
          <w:rFonts w:hint="eastAsia" w:ascii="宋体" w:hAnsi="宋体" w:eastAsia="宋体" w:cs="Times New Roman"/>
          <w:sz w:val="24"/>
          <w:szCs w:val="24"/>
        </w:rPr>
      </w:pPr>
    </w:p>
    <w:p w14:paraId="7B147CDE">
      <w:pPr>
        <w:spacing w:line="360" w:lineRule="auto"/>
        <w:jc w:val="center"/>
        <w:rPr>
          <w:rFonts w:hint="eastAsia" w:ascii="宋体" w:hAnsi="宋体" w:eastAsia="宋体" w:cs="Times New Roman"/>
          <w:sz w:val="24"/>
          <w:szCs w:val="24"/>
        </w:rPr>
      </w:pPr>
    </w:p>
    <w:p w14:paraId="0459FAEF">
      <w:pPr>
        <w:spacing w:line="360" w:lineRule="auto"/>
        <w:ind w:firstLine="3600" w:firstLineChars="1500"/>
        <w:jc w:val="both"/>
        <w:rPr>
          <w:rFonts w:hint="eastAsia" w:ascii="宋体" w:hAnsi="宋体" w:eastAsia="宋体" w:cs="Times New Roman"/>
          <w:sz w:val="24"/>
          <w:szCs w:val="24"/>
        </w:rPr>
      </w:pPr>
      <w:r>
        <w:rPr>
          <w:rFonts w:hint="eastAsia" w:ascii="宋体" w:hAnsi="宋体" w:eastAsia="宋体" w:cs="Times New Roman"/>
          <w:sz w:val="24"/>
          <w:szCs w:val="24"/>
        </w:rPr>
        <w:t>体检套餐（二）</w:t>
      </w:r>
    </w:p>
    <w:p w14:paraId="4E92FD9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1．基础套餐</w:t>
      </w:r>
    </w:p>
    <w:tbl>
      <w:tblPr>
        <w:tblStyle w:val="23"/>
        <w:tblW w:w="8829" w:type="dxa"/>
        <w:tblInd w:w="93" w:type="dxa"/>
        <w:tblLayout w:type="fixed"/>
        <w:tblCellMar>
          <w:top w:w="0" w:type="dxa"/>
          <w:left w:w="108" w:type="dxa"/>
          <w:bottom w:w="0" w:type="dxa"/>
          <w:right w:w="108" w:type="dxa"/>
        </w:tblCellMar>
      </w:tblPr>
      <w:tblGrid>
        <w:gridCol w:w="633"/>
        <w:gridCol w:w="1762"/>
        <w:gridCol w:w="5408"/>
        <w:gridCol w:w="1026"/>
      </w:tblGrid>
      <w:tr w14:paraId="690FBBCB">
        <w:tblPrEx>
          <w:tblCellMar>
            <w:top w:w="0" w:type="dxa"/>
            <w:left w:w="108" w:type="dxa"/>
            <w:bottom w:w="0" w:type="dxa"/>
            <w:right w:w="108" w:type="dxa"/>
          </w:tblCellMar>
        </w:tblPrEx>
        <w:trPr>
          <w:trHeight w:val="645"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AE349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762" w:type="dxa"/>
            <w:tcBorders>
              <w:top w:val="single" w:color="auto" w:sz="4" w:space="0"/>
              <w:left w:val="nil"/>
              <w:bottom w:val="single" w:color="auto" w:sz="4" w:space="0"/>
              <w:right w:val="single" w:color="auto" w:sz="4" w:space="0"/>
            </w:tcBorders>
            <w:shd w:val="clear" w:color="auto" w:fill="auto"/>
            <w:vAlign w:val="center"/>
          </w:tcPr>
          <w:p w14:paraId="3A94C7A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项目</w:t>
            </w:r>
          </w:p>
        </w:tc>
        <w:tc>
          <w:tcPr>
            <w:tcW w:w="5408" w:type="dxa"/>
            <w:tcBorders>
              <w:top w:val="single" w:color="auto" w:sz="4" w:space="0"/>
              <w:left w:val="nil"/>
              <w:bottom w:val="single" w:color="auto" w:sz="4" w:space="0"/>
              <w:right w:val="single" w:color="auto" w:sz="4" w:space="0"/>
            </w:tcBorders>
            <w:shd w:val="clear" w:color="auto" w:fill="auto"/>
            <w:vAlign w:val="center"/>
          </w:tcPr>
          <w:p w14:paraId="5A731E9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检查意义</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4017552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备注</w:t>
            </w:r>
          </w:p>
        </w:tc>
      </w:tr>
      <w:tr w14:paraId="5C5483C9">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0205680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1762" w:type="dxa"/>
            <w:tcBorders>
              <w:top w:val="nil"/>
              <w:left w:val="nil"/>
              <w:bottom w:val="single" w:color="auto" w:sz="4" w:space="0"/>
              <w:right w:val="single" w:color="auto" w:sz="4" w:space="0"/>
            </w:tcBorders>
            <w:shd w:val="clear" w:color="auto" w:fill="auto"/>
            <w:vAlign w:val="center"/>
          </w:tcPr>
          <w:p w14:paraId="48E17C0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一般检查</w:t>
            </w:r>
          </w:p>
        </w:tc>
        <w:tc>
          <w:tcPr>
            <w:tcW w:w="5408" w:type="dxa"/>
            <w:tcBorders>
              <w:top w:val="nil"/>
              <w:left w:val="nil"/>
              <w:bottom w:val="single" w:color="auto" w:sz="4" w:space="0"/>
              <w:right w:val="single" w:color="auto" w:sz="4" w:space="0"/>
            </w:tcBorders>
            <w:shd w:val="clear" w:color="auto" w:fill="auto"/>
            <w:vAlign w:val="center"/>
          </w:tcPr>
          <w:p w14:paraId="3E5C435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判断是否超重、肥胖、消瘦，有无高血压</w:t>
            </w:r>
          </w:p>
        </w:tc>
        <w:tc>
          <w:tcPr>
            <w:tcW w:w="1026" w:type="dxa"/>
            <w:tcBorders>
              <w:top w:val="nil"/>
              <w:left w:val="nil"/>
              <w:bottom w:val="single" w:color="auto" w:sz="4" w:space="0"/>
              <w:right w:val="single" w:color="auto" w:sz="4" w:space="0"/>
            </w:tcBorders>
            <w:shd w:val="clear" w:color="auto" w:fill="auto"/>
            <w:noWrap/>
            <w:vAlign w:val="center"/>
          </w:tcPr>
          <w:p w14:paraId="55D7DF2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642CDDD6">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1097453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1762" w:type="dxa"/>
            <w:tcBorders>
              <w:top w:val="nil"/>
              <w:left w:val="nil"/>
              <w:bottom w:val="single" w:color="auto" w:sz="4" w:space="0"/>
              <w:right w:val="single" w:color="auto" w:sz="4" w:space="0"/>
            </w:tcBorders>
            <w:shd w:val="clear" w:color="auto" w:fill="auto"/>
            <w:vAlign w:val="center"/>
          </w:tcPr>
          <w:p w14:paraId="6637EB4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内科常规检查</w:t>
            </w:r>
          </w:p>
        </w:tc>
        <w:tc>
          <w:tcPr>
            <w:tcW w:w="5408" w:type="dxa"/>
            <w:tcBorders>
              <w:top w:val="nil"/>
              <w:left w:val="nil"/>
              <w:bottom w:val="single" w:color="auto" w:sz="4" w:space="0"/>
              <w:right w:val="single" w:color="auto" w:sz="4" w:space="0"/>
            </w:tcBorders>
            <w:shd w:val="clear" w:color="auto" w:fill="auto"/>
            <w:vAlign w:val="center"/>
          </w:tcPr>
          <w:p w14:paraId="6FFB46F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检查心、肺、肝、脾、神经系统有无异常</w:t>
            </w:r>
          </w:p>
        </w:tc>
        <w:tc>
          <w:tcPr>
            <w:tcW w:w="1026" w:type="dxa"/>
            <w:tcBorders>
              <w:top w:val="nil"/>
              <w:left w:val="nil"/>
              <w:bottom w:val="single" w:color="auto" w:sz="4" w:space="0"/>
              <w:right w:val="single" w:color="auto" w:sz="4" w:space="0"/>
            </w:tcBorders>
            <w:shd w:val="clear" w:color="auto" w:fill="auto"/>
            <w:noWrap/>
            <w:vAlign w:val="center"/>
          </w:tcPr>
          <w:p w14:paraId="2A9CD379">
            <w:pPr>
              <w:spacing w:line="360" w:lineRule="auto"/>
              <w:jc w:val="center"/>
              <w:rPr>
                <w:rFonts w:hint="eastAsia" w:ascii="宋体" w:hAnsi="宋体" w:eastAsia="宋体" w:cs="Times New Roman"/>
                <w:sz w:val="24"/>
                <w:szCs w:val="24"/>
              </w:rPr>
            </w:pPr>
          </w:p>
        </w:tc>
      </w:tr>
      <w:tr w14:paraId="78E5C889">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0DD6BE6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1762" w:type="dxa"/>
            <w:tcBorders>
              <w:top w:val="nil"/>
              <w:left w:val="nil"/>
              <w:bottom w:val="single" w:color="auto" w:sz="4" w:space="0"/>
              <w:right w:val="single" w:color="auto" w:sz="4" w:space="0"/>
            </w:tcBorders>
            <w:shd w:val="clear" w:color="auto" w:fill="auto"/>
            <w:vAlign w:val="center"/>
          </w:tcPr>
          <w:p w14:paraId="0CBCC39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外科常规检查</w:t>
            </w:r>
          </w:p>
        </w:tc>
        <w:tc>
          <w:tcPr>
            <w:tcW w:w="5408" w:type="dxa"/>
            <w:tcBorders>
              <w:top w:val="nil"/>
              <w:left w:val="nil"/>
              <w:bottom w:val="single" w:color="auto" w:sz="4" w:space="0"/>
              <w:right w:val="single" w:color="auto" w:sz="4" w:space="0"/>
            </w:tcBorders>
            <w:shd w:val="clear" w:color="auto" w:fill="auto"/>
            <w:vAlign w:val="center"/>
          </w:tcPr>
          <w:p w14:paraId="07F010F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检查甲状腺、浅表淋巴结等有无异常</w:t>
            </w:r>
          </w:p>
        </w:tc>
        <w:tc>
          <w:tcPr>
            <w:tcW w:w="1026" w:type="dxa"/>
            <w:tcBorders>
              <w:top w:val="nil"/>
              <w:left w:val="nil"/>
              <w:bottom w:val="single" w:color="auto" w:sz="4" w:space="0"/>
              <w:right w:val="single" w:color="auto" w:sz="4" w:space="0"/>
            </w:tcBorders>
            <w:shd w:val="clear" w:color="auto" w:fill="auto"/>
            <w:noWrap/>
            <w:vAlign w:val="center"/>
          </w:tcPr>
          <w:p w14:paraId="5623EB0E">
            <w:pPr>
              <w:spacing w:line="360" w:lineRule="auto"/>
              <w:jc w:val="center"/>
              <w:rPr>
                <w:rFonts w:hint="eastAsia" w:ascii="宋体" w:hAnsi="宋体" w:eastAsia="宋体" w:cs="Times New Roman"/>
                <w:sz w:val="24"/>
                <w:szCs w:val="24"/>
              </w:rPr>
            </w:pPr>
          </w:p>
        </w:tc>
      </w:tr>
      <w:tr w14:paraId="1D2652F7">
        <w:tblPrEx>
          <w:tblCellMar>
            <w:top w:w="0" w:type="dxa"/>
            <w:left w:w="108" w:type="dxa"/>
            <w:bottom w:w="0" w:type="dxa"/>
            <w:right w:w="108" w:type="dxa"/>
          </w:tblCellMar>
        </w:tblPrEx>
        <w:trPr>
          <w:trHeight w:val="66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736896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w:t>
            </w:r>
          </w:p>
        </w:tc>
        <w:tc>
          <w:tcPr>
            <w:tcW w:w="1762" w:type="dxa"/>
            <w:tcBorders>
              <w:top w:val="nil"/>
              <w:left w:val="nil"/>
              <w:bottom w:val="single" w:color="auto" w:sz="4" w:space="0"/>
              <w:right w:val="single" w:color="auto" w:sz="4" w:space="0"/>
            </w:tcBorders>
            <w:shd w:val="clear" w:color="auto" w:fill="auto"/>
            <w:vAlign w:val="center"/>
          </w:tcPr>
          <w:p w14:paraId="3BF9F51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肝功9项</w:t>
            </w:r>
          </w:p>
        </w:tc>
        <w:tc>
          <w:tcPr>
            <w:tcW w:w="5408" w:type="dxa"/>
            <w:tcBorders>
              <w:top w:val="nil"/>
              <w:left w:val="nil"/>
              <w:bottom w:val="single" w:color="auto" w:sz="4" w:space="0"/>
              <w:right w:val="single" w:color="auto" w:sz="4" w:space="0"/>
            </w:tcBorders>
            <w:shd w:val="clear" w:color="auto" w:fill="auto"/>
            <w:vAlign w:val="center"/>
          </w:tcPr>
          <w:p w14:paraId="6893041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检查肝胆代谢功能有无异常，用于检测肝胆疾病，慢性肝损害、胆道梗阻等疾病</w:t>
            </w:r>
          </w:p>
        </w:tc>
        <w:tc>
          <w:tcPr>
            <w:tcW w:w="1026" w:type="dxa"/>
            <w:tcBorders>
              <w:top w:val="nil"/>
              <w:left w:val="nil"/>
              <w:bottom w:val="single" w:color="auto" w:sz="4" w:space="0"/>
              <w:right w:val="single" w:color="auto" w:sz="4" w:space="0"/>
            </w:tcBorders>
            <w:shd w:val="clear" w:color="auto" w:fill="auto"/>
            <w:noWrap/>
            <w:vAlign w:val="center"/>
          </w:tcPr>
          <w:p w14:paraId="086ABCA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74F6D38B">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0D2159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w:t>
            </w:r>
          </w:p>
        </w:tc>
        <w:tc>
          <w:tcPr>
            <w:tcW w:w="1762" w:type="dxa"/>
            <w:tcBorders>
              <w:top w:val="nil"/>
              <w:left w:val="nil"/>
              <w:bottom w:val="single" w:color="auto" w:sz="4" w:space="0"/>
              <w:right w:val="single" w:color="auto" w:sz="4" w:space="0"/>
            </w:tcBorders>
            <w:shd w:val="clear" w:color="auto" w:fill="auto"/>
            <w:vAlign w:val="center"/>
          </w:tcPr>
          <w:p w14:paraId="0657B46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肾功3项</w:t>
            </w:r>
          </w:p>
        </w:tc>
        <w:tc>
          <w:tcPr>
            <w:tcW w:w="5408" w:type="dxa"/>
            <w:tcBorders>
              <w:top w:val="nil"/>
              <w:left w:val="nil"/>
              <w:bottom w:val="single" w:color="auto" w:sz="4" w:space="0"/>
              <w:right w:val="single" w:color="auto" w:sz="4" w:space="0"/>
            </w:tcBorders>
            <w:shd w:val="clear" w:color="auto" w:fill="auto"/>
            <w:vAlign w:val="center"/>
          </w:tcPr>
          <w:p w14:paraId="040FEF4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检查肾脏的代谢、排泄功能是否正常</w:t>
            </w:r>
          </w:p>
        </w:tc>
        <w:tc>
          <w:tcPr>
            <w:tcW w:w="1026" w:type="dxa"/>
            <w:tcBorders>
              <w:top w:val="nil"/>
              <w:left w:val="nil"/>
              <w:bottom w:val="single" w:color="auto" w:sz="4" w:space="0"/>
              <w:right w:val="single" w:color="auto" w:sz="4" w:space="0"/>
            </w:tcBorders>
            <w:shd w:val="clear" w:color="auto" w:fill="auto"/>
            <w:noWrap/>
            <w:vAlign w:val="center"/>
          </w:tcPr>
          <w:p w14:paraId="286233E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00FD0FB7">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3111622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w:t>
            </w:r>
          </w:p>
        </w:tc>
        <w:tc>
          <w:tcPr>
            <w:tcW w:w="1762" w:type="dxa"/>
            <w:tcBorders>
              <w:top w:val="nil"/>
              <w:left w:val="nil"/>
              <w:bottom w:val="single" w:color="auto" w:sz="4" w:space="0"/>
              <w:right w:val="single" w:color="auto" w:sz="4" w:space="0"/>
            </w:tcBorders>
            <w:shd w:val="clear" w:color="auto" w:fill="auto"/>
            <w:vAlign w:val="center"/>
          </w:tcPr>
          <w:p w14:paraId="679EB8D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血糖2项</w:t>
            </w:r>
          </w:p>
        </w:tc>
        <w:tc>
          <w:tcPr>
            <w:tcW w:w="5408" w:type="dxa"/>
            <w:tcBorders>
              <w:top w:val="nil"/>
              <w:left w:val="nil"/>
              <w:bottom w:val="single" w:color="auto" w:sz="4" w:space="0"/>
              <w:right w:val="single" w:color="auto" w:sz="4" w:space="0"/>
            </w:tcBorders>
            <w:shd w:val="clear" w:color="auto" w:fill="auto"/>
            <w:vAlign w:val="center"/>
          </w:tcPr>
          <w:p w14:paraId="18E0DBB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是糖尿病最基本的检测方法</w:t>
            </w:r>
          </w:p>
        </w:tc>
        <w:tc>
          <w:tcPr>
            <w:tcW w:w="1026" w:type="dxa"/>
            <w:tcBorders>
              <w:top w:val="nil"/>
              <w:left w:val="nil"/>
              <w:bottom w:val="single" w:color="auto" w:sz="4" w:space="0"/>
              <w:right w:val="single" w:color="auto" w:sz="4" w:space="0"/>
            </w:tcBorders>
            <w:shd w:val="clear" w:color="auto" w:fill="auto"/>
            <w:noWrap/>
            <w:vAlign w:val="center"/>
          </w:tcPr>
          <w:p w14:paraId="5033607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1E384806">
        <w:tblPrEx>
          <w:tblCellMar>
            <w:top w:w="0" w:type="dxa"/>
            <w:left w:w="108" w:type="dxa"/>
            <w:bottom w:w="0" w:type="dxa"/>
            <w:right w:w="108" w:type="dxa"/>
          </w:tblCellMar>
        </w:tblPrEx>
        <w:trPr>
          <w:trHeight w:val="60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024540F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w:t>
            </w:r>
          </w:p>
        </w:tc>
        <w:tc>
          <w:tcPr>
            <w:tcW w:w="1762" w:type="dxa"/>
            <w:tcBorders>
              <w:top w:val="nil"/>
              <w:left w:val="nil"/>
              <w:bottom w:val="single" w:color="auto" w:sz="4" w:space="0"/>
              <w:right w:val="single" w:color="auto" w:sz="4" w:space="0"/>
            </w:tcBorders>
            <w:shd w:val="clear" w:color="auto" w:fill="auto"/>
            <w:vAlign w:val="center"/>
          </w:tcPr>
          <w:p w14:paraId="0537050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血脂6项</w:t>
            </w:r>
          </w:p>
        </w:tc>
        <w:tc>
          <w:tcPr>
            <w:tcW w:w="5408" w:type="dxa"/>
            <w:tcBorders>
              <w:top w:val="nil"/>
              <w:left w:val="nil"/>
              <w:bottom w:val="single" w:color="auto" w:sz="4" w:space="0"/>
              <w:right w:val="single" w:color="auto" w:sz="4" w:space="0"/>
            </w:tcBorders>
            <w:shd w:val="clear" w:color="auto" w:fill="auto"/>
            <w:vAlign w:val="center"/>
          </w:tcPr>
          <w:p w14:paraId="5B6B6E2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用于血脂代谢紊乱评价、动脉粥样硬化性疾病危险度预测和营养学评价</w:t>
            </w:r>
          </w:p>
        </w:tc>
        <w:tc>
          <w:tcPr>
            <w:tcW w:w="1026" w:type="dxa"/>
            <w:tcBorders>
              <w:top w:val="nil"/>
              <w:left w:val="nil"/>
              <w:bottom w:val="single" w:color="auto" w:sz="4" w:space="0"/>
              <w:right w:val="single" w:color="auto" w:sz="4" w:space="0"/>
            </w:tcBorders>
            <w:shd w:val="clear" w:color="auto" w:fill="auto"/>
            <w:noWrap/>
            <w:vAlign w:val="center"/>
          </w:tcPr>
          <w:p w14:paraId="6AA9CFC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30A204B2">
        <w:tblPrEx>
          <w:tblCellMar>
            <w:top w:w="0" w:type="dxa"/>
            <w:left w:w="108" w:type="dxa"/>
            <w:bottom w:w="0" w:type="dxa"/>
            <w:right w:w="108" w:type="dxa"/>
          </w:tblCellMar>
        </w:tblPrEx>
        <w:trPr>
          <w:trHeight w:val="69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47FA371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w:t>
            </w:r>
          </w:p>
        </w:tc>
        <w:tc>
          <w:tcPr>
            <w:tcW w:w="1762" w:type="dxa"/>
            <w:tcBorders>
              <w:top w:val="nil"/>
              <w:left w:val="nil"/>
              <w:bottom w:val="single" w:color="auto" w:sz="4" w:space="0"/>
              <w:right w:val="single" w:color="auto" w:sz="4" w:space="0"/>
            </w:tcBorders>
            <w:shd w:val="clear" w:color="auto" w:fill="auto"/>
            <w:vAlign w:val="center"/>
          </w:tcPr>
          <w:p w14:paraId="21656EF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血常规</w:t>
            </w:r>
          </w:p>
        </w:tc>
        <w:tc>
          <w:tcPr>
            <w:tcW w:w="5408" w:type="dxa"/>
            <w:tcBorders>
              <w:top w:val="nil"/>
              <w:left w:val="nil"/>
              <w:bottom w:val="single" w:color="auto" w:sz="4" w:space="0"/>
              <w:right w:val="single" w:color="auto" w:sz="4" w:space="0"/>
            </w:tcBorders>
            <w:shd w:val="clear" w:color="auto" w:fill="auto"/>
            <w:vAlign w:val="center"/>
          </w:tcPr>
          <w:p w14:paraId="6853683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了解有无感染、贫血、炎症、凝血功能障碍及血液等疾病</w:t>
            </w:r>
          </w:p>
        </w:tc>
        <w:tc>
          <w:tcPr>
            <w:tcW w:w="1026" w:type="dxa"/>
            <w:tcBorders>
              <w:top w:val="nil"/>
              <w:left w:val="nil"/>
              <w:bottom w:val="single" w:color="auto" w:sz="4" w:space="0"/>
              <w:right w:val="single" w:color="auto" w:sz="4" w:space="0"/>
            </w:tcBorders>
            <w:shd w:val="clear" w:color="auto" w:fill="auto"/>
            <w:noWrap/>
            <w:vAlign w:val="center"/>
          </w:tcPr>
          <w:p w14:paraId="5EA5DF9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696A3EF6">
        <w:tblPrEx>
          <w:tblCellMar>
            <w:top w:w="0" w:type="dxa"/>
            <w:left w:w="108" w:type="dxa"/>
            <w:bottom w:w="0" w:type="dxa"/>
            <w:right w:w="108" w:type="dxa"/>
          </w:tblCellMar>
        </w:tblPrEx>
        <w:trPr>
          <w:trHeight w:val="58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614DF1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w:t>
            </w:r>
          </w:p>
        </w:tc>
        <w:tc>
          <w:tcPr>
            <w:tcW w:w="1762" w:type="dxa"/>
            <w:tcBorders>
              <w:top w:val="nil"/>
              <w:left w:val="nil"/>
              <w:bottom w:val="single" w:color="auto" w:sz="4" w:space="0"/>
              <w:right w:val="single" w:color="auto" w:sz="4" w:space="0"/>
            </w:tcBorders>
            <w:shd w:val="clear" w:color="auto" w:fill="auto"/>
            <w:vAlign w:val="center"/>
          </w:tcPr>
          <w:p w14:paraId="3988677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尿常规</w:t>
            </w:r>
          </w:p>
        </w:tc>
        <w:tc>
          <w:tcPr>
            <w:tcW w:w="5408" w:type="dxa"/>
            <w:tcBorders>
              <w:top w:val="nil"/>
              <w:left w:val="nil"/>
              <w:bottom w:val="single" w:color="auto" w:sz="4" w:space="0"/>
              <w:right w:val="single" w:color="auto" w:sz="4" w:space="0"/>
            </w:tcBorders>
            <w:shd w:val="clear" w:color="auto" w:fill="auto"/>
            <w:vAlign w:val="center"/>
          </w:tcPr>
          <w:p w14:paraId="2B3B9A6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了解有无尿蛋白、尿糖、泌尿系感染等</w:t>
            </w:r>
          </w:p>
        </w:tc>
        <w:tc>
          <w:tcPr>
            <w:tcW w:w="1026" w:type="dxa"/>
            <w:tcBorders>
              <w:top w:val="nil"/>
              <w:left w:val="nil"/>
              <w:bottom w:val="single" w:color="auto" w:sz="4" w:space="0"/>
              <w:right w:val="single" w:color="auto" w:sz="4" w:space="0"/>
            </w:tcBorders>
            <w:shd w:val="clear" w:color="auto" w:fill="auto"/>
            <w:noWrap/>
            <w:vAlign w:val="center"/>
          </w:tcPr>
          <w:p w14:paraId="3CCDA9B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2238D50F">
        <w:tblPrEx>
          <w:tblCellMar>
            <w:top w:w="0" w:type="dxa"/>
            <w:left w:w="108" w:type="dxa"/>
            <w:bottom w:w="0" w:type="dxa"/>
            <w:right w:w="108" w:type="dxa"/>
          </w:tblCellMar>
        </w:tblPrEx>
        <w:trPr>
          <w:trHeight w:val="36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05E3FEE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w:t>
            </w:r>
          </w:p>
        </w:tc>
        <w:tc>
          <w:tcPr>
            <w:tcW w:w="1762" w:type="dxa"/>
            <w:tcBorders>
              <w:top w:val="nil"/>
              <w:left w:val="nil"/>
              <w:bottom w:val="single" w:color="auto" w:sz="4" w:space="0"/>
              <w:right w:val="single" w:color="auto" w:sz="4" w:space="0"/>
            </w:tcBorders>
            <w:shd w:val="clear" w:color="auto" w:fill="auto"/>
            <w:vAlign w:val="center"/>
          </w:tcPr>
          <w:p w14:paraId="2ED3219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心肌酶谱</w:t>
            </w:r>
          </w:p>
        </w:tc>
        <w:tc>
          <w:tcPr>
            <w:tcW w:w="5408" w:type="dxa"/>
            <w:tcBorders>
              <w:top w:val="nil"/>
              <w:left w:val="nil"/>
              <w:bottom w:val="single" w:color="auto" w:sz="4" w:space="0"/>
              <w:right w:val="single" w:color="auto" w:sz="4" w:space="0"/>
            </w:tcBorders>
            <w:shd w:val="clear" w:color="auto" w:fill="auto"/>
            <w:vAlign w:val="center"/>
          </w:tcPr>
          <w:p w14:paraId="1E12F01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筛检有无心脏病变、预防心脑血管疾病</w:t>
            </w:r>
          </w:p>
        </w:tc>
        <w:tc>
          <w:tcPr>
            <w:tcW w:w="1026" w:type="dxa"/>
            <w:tcBorders>
              <w:top w:val="nil"/>
              <w:left w:val="nil"/>
              <w:bottom w:val="single" w:color="auto" w:sz="4" w:space="0"/>
              <w:right w:val="single" w:color="auto" w:sz="4" w:space="0"/>
            </w:tcBorders>
            <w:shd w:val="clear" w:color="auto" w:fill="auto"/>
            <w:noWrap/>
            <w:vAlign w:val="center"/>
          </w:tcPr>
          <w:p w14:paraId="6E46CD5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4C272054">
        <w:tblPrEx>
          <w:tblCellMar>
            <w:top w:w="0" w:type="dxa"/>
            <w:left w:w="108" w:type="dxa"/>
            <w:bottom w:w="0" w:type="dxa"/>
            <w:right w:w="108" w:type="dxa"/>
          </w:tblCellMar>
        </w:tblPrEx>
        <w:trPr>
          <w:trHeight w:val="525"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8C3B2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w:t>
            </w:r>
          </w:p>
        </w:tc>
        <w:tc>
          <w:tcPr>
            <w:tcW w:w="1762" w:type="dxa"/>
            <w:tcBorders>
              <w:top w:val="single" w:color="auto" w:sz="4" w:space="0"/>
              <w:left w:val="nil"/>
              <w:bottom w:val="single" w:color="auto" w:sz="4" w:space="0"/>
              <w:right w:val="single" w:color="auto" w:sz="4" w:space="0"/>
            </w:tcBorders>
            <w:shd w:val="clear" w:color="auto" w:fill="auto"/>
            <w:vAlign w:val="center"/>
          </w:tcPr>
          <w:p w14:paraId="175EDA3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同型半胱氨酸</w:t>
            </w:r>
          </w:p>
        </w:tc>
        <w:tc>
          <w:tcPr>
            <w:tcW w:w="5408" w:type="dxa"/>
            <w:tcBorders>
              <w:top w:val="single" w:color="auto" w:sz="4" w:space="0"/>
              <w:left w:val="nil"/>
              <w:bottom w:val="single" w:color="auto" w:sz="4" w:space="0"/>
              <w:right w:val="single" w:color="auto" w:sz="4" w:space="0"/>
            </w:tcBorders>
            <w:shd w:val="clear" w:color="auto" w:fill="auto"/>
            <w:vAlign w:val="center"/>
          </w:tcPr>
          <w:p w14:paraId="3B0AD98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冠状动脉粥样硬化和心肌梗塞的危险性评价指标</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7C12C79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426AB5CD">
        <w:tblPrEx>
          <w:tblCellMar>
            <w:top w:w="0" w:type="dxa"/>
            <w:left w:w="108" w:type="dxa"/>
            <w:bottom w:w="0" w:type="dxa"/>
            <w:right w:w="108" w:type="dxa"/>
          </w:tblCellMar>
        </w:tblPrEx>
        <w:trPr>
          <w:trHeight w:val="345"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E14DF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w:t>
            </w:r>
          </w:p>
        </w:tc>
        <w:tc>
          <w:tcPr>
            <w:tcW w:w="1762" w:type="dxa"/>
            <w:tcBorders>
              <w:top w:val="single" w:color="auto" w:sz="4" w:space="0"/>
              <w:left w:val="nil"/>
              <w:bottom w:val="single" w:color="auto" w:sz="4" w:space="0"/>
              <w:right w:val="single" w:color="auto" w:sz="4" w:space="0"/>
            </w:tcBorders>
            <w:shd w:val="clear" w:color="auto" w:fill="auto"/>
            <w:vAlign w:val="center"/>
          </w:tcPr>
          <w:p w14:paraId="2D14377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甲胎蛋白（AFP）</w:t>
            </w:r>
          </w:p>
        </w:tc>
        <w:tc>
          <w:tcPr>
            <w:tcW w:w="5408" w:type="dxa"/>
            <w:tcBorders>
              <w:top w:val="single" w:color="auto" w:sz="4" w:space="0"/>
              <w:left w:val="nil"/>
              <w:bottom w:val="single" w:color="auto" w:sz="4" w:space="0"/>
              <w:right w:val="single" w:color="auto" w:sz="4" w:space="0"/>
            </w:tcBorders>
            <w:shd w:val="clear" w:color="auto" w:fill="auto"/>
            <w:vAlign w:val="center"/>
          </w:tcPr>
          <w:p w14:paraId="37C4893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主要用于肝癌早期筛查</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59B6ED4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7F5F2780">
        <w:tblPrEx>
          <w:tblCellMar>
            <w:top w:w="0" w:type="dxa"/>
            <w:left w:w="108" w:type="dxa"/>
            <w:bottom w:w="0" w:type="dxa"/>
            <w:right w:w="108" w:type="dxa"/>
          </w:tblCellMar>
        </w:tblPrEx>
        <w:trPr>
          <w:trHeight w:val="525"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72177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w:t>
            </w:r>
          </w:p>
        </w:tc>
        <w:tc>
          <w:tcPr>
            <w:tcW w:w="1762" w:type="dxa"/>
            <w:tcBorders>
              <w:top w:val="single" w:color="auto" w:sz="4" w:space="0"/>
              <w:left w:val="nil"/>
              <w:bottom w:val="single" w:color="auto" w:sz="4" w:space="0"/>
              <w:right w:val="single" w:color="auto" w:sz="4" w:space="0"/>
            </w:tcBorders>
            <w:shd w:val="clear" w:color="auto" w:fill="auto"/>
            <w:vAlign w:val="center"/>
          </w:tcPr>
          <w:p w14:paraId="2489C34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癌胚抗原（CEA）</w:t>
            </w:r>
          </w:p>
        </w:tc>
        <w:tc>
          <w:tcPr>
            <w:tcW w:w="5408" w:type="dxa"/>
            <w:tcBorders>
              <w:top w:val="single" w:color="auto" w:sz="4" w:space="0"/>
              <w:left w:val="nil"/>
              <w:bottom w:val="single" w:color="auto" w:sz="4" w:space="0"/>
              <w:right w:val="single" w:color="auto" w:sz="4" w:space="0"/>
            </w:tcBorders>
            <w:shd w:val="clear" w:color="auto" w:fill="auto"/>
            <w:vAlign w:val="center"/>
          </w:tcPr>
          <w:p w14:paraId="421A0FF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主要用于消化道肿瘤早期筛查</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3C2C058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431243D8">
        <w:tblPrEx>
          <w:tblCellMar>
            <w:top w:w="0" w:type="dxa"/>
            <w:left w:w="108" w:type="dxa"/>
            <w:bottom w:w="0" w:type="dxa"/>
            <w:right w:w="108" w:type="dxa"/>
          </w:tblCellMar>
        </w:tblPrEx>
        <w:trPr>
          <w:trHeight w:val="548"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F0415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w:t>
            </w:r>
          </w:p>
        </w:tc>
        <w:tc>
          <w:tcPr>
            <w:tcW w:w="1762" w:type="dxa"/>
            <w:tcBorders>
              <w:top w:val="single" w:color="auto" w:sz="4" w:space="0"/>
              <w:left w:val="nil"/>
              <w:bottom w:val="single" w:color="auto" w:sz="4" w:space="0"/>
              <w:right w:val="single" w:color="auto" w:sz="4" w:space="0"/>
            </w:tcBorders>
            <w:shd w:val="clear" w:color="auto" w:fill="auto"/>
            <w:vAlign w:val="center"/>
          </w:tcPr>
          <w:p w14:paraId="7A34FCA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CA199</w:t>
            </w:r>
          </w:p>
        </w:tc>
        <w:tc>
          <w:tcPr>
            <w:tcW w:w="5408" w:type="dxa"/>
            <w:tcBorders>
              <w:top w:val="single" w:color="auto" w:sz="4" w:space="0"/>
              <w:left w:val="nil"/>
              <w:bottom w:val="single" w:color="auto" w:sz="4" w:space="0"/>
              <w:right w:val="single" w:color="auto" w:sz="4" w:space="0"/>
            </w:tcBorders>
            <w:shd w:val="clear" w:color="auto" w:fill="auto"/>
            <w:vAlign w:val="center"/>
          </w:tcPr>
          <w:p w14:paraId="5410C65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主要用于筛查胰腺癌、胆管癌等</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3EB80EA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57A7B867">
        <w:tblPrEx>
          <w:tblCellMar>
            <w:top w:w="0" w:type="dxa"/>
            <w:left w:w="108" w:type="dxa"/>
            <w:bottom w:w="0" w:type="dxa"/>
            <w:right w:w="108" w:type="dxa"/>
          </w:tblCellMar>
        </w:tblPrEx>
        <w:trPr>
          <w:trHeight w:val="548" w:hRule="atLeast"/>
        </w:trPr>
        <w:tc>
          <w:tcPr>
            <w:tcW w:w="6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36373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w:t>
            </w:r>
          </w:p>
        </w:tc>
        <w:tc>
          <w:tcPr>
            <w:tcW w:w="1762" w:type="dxa"/>
            <w:tcBorders>
              <w:top w:val="single" w:color="auto" w:sz="4" w:space="0"/>
              <w:left w:val="nil"/>
              <w:bottom w:val="single" w:color="auto" w:sz="4" w:space="0"/>
              <w:right w:val="single" w:color="auto" w:sz="4" w:space="0"/>
            </w:tcBorders>
            <w:shd w:val="clear" w:color="auto" w:fill="auto"/>
            <w:vAlign w:val="center"/>
          </w:tcPr>
          <w:p w14:paraId="6023E75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NSE</w:t>
            </w:r>
          </w:p>
        </w:tc>
        <w:tc>
          <w:tcPr>
            <w:tcW w:w="5408" w:type="dxa"/>
            <w:tcBorders>
              <w:top w:val="single" w:color="auto" w:sz="4" w:space="0"/>
              <w:left w:val="nil"/>
              <w:bottom w:val="single" w:color="auto" w:sz="4" w:space="0"/>
              <w:right w:val="single" w:color="auto" w:sz="4" w:space="0"/>
            </w:tcBorders>
            <w:shd w:val="clear" w:color="auto" w:fill="auto"/>
            <w:vAlign w:val="center"/>
          </w:tcPr>
          <w:p w14:paraId="2BD1F43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主要用于小细胞肺癌和神经母细胞肿瘤的辅助诊断</w:t>
            </w:r>
          </w:p>
        </w:tc>
        <w:tc>
          <w:tcPr>
            <w:tcW w:w="1026" w:type="dxa"/>
            <w:tcBorders>
              <w:top w:val="single" w:color="auto" w:sz="4" w:space="0"/>
              <w:left w:val="nil"/>
              <w:bottom w:val="single" w:color="auto" w:sz="4" w:space="0"/>
              <w:right w:val="single" w:color="auto" w:sz="4" w:space="0"/>
            </w:tcBorders>
            <w:shd w:val="clear" w:color="auto" w:fill="auto"/>
            <w:noWrap/>
            <w:vAlign w:val="center"/>
          </w:tcPr>
          <w:p w14:paraId="3A0DB969">
            <w:pPr>
              <w:spacing w:line="360" w:lineRule="auto"/>
              <w:jc w:val="center"/>
              <w:rPr>
                <w:rFonts w:hint="eastAsia" w:ascii="宋体" w:hAnsi="宋体" w:eastAsia="宋体" w:cs="Times New Roman"/>
                <w:sz w:val="24"/>
                <w:szCs w:val="24"/>
              </w:rPr>
            </w:pPr>
          </w:p>
        </w:tc>
      </w:tr>
      <w:tr w14:paraId="02674EC9">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3690E60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16</w:t>
            </w:r>
          </w:p>
        </w:tc>
        <w:tc>
          <w:tcPr>
            <w:tcW w:w="1762" w:type="dxa"/>
            <w:tcBorders>
              <w:top w:val="nil"/>
              <w:left w:val="nil"/>
              <w:bottom w:val="single" w:color="auto" w:sz="4" w:space="0"/>
              <w:right w:val="single" w:color="auto" w:sz="4" w:space="0"/>
            </w:tcBorders>
            <w:shd w:val="clear" w:color="auto" w:fill="auto"/>
            <w:vAlign w:val="center"/>
          </w:tcPr>
          <w:p w14:paraId="78246C9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甲状腺功能</w:t>
            </w:r>
          </w:p>
        </w:tc>
        <w:tc>
          <w:tcPr>
            <w:tcW w:w="5408" w:type="dxa"/>
            <w:tcBorders>
              <w:top w:val="nil"/>
              <w:left w:val="nil"/>
              <w:bottom w:val="single" w:color="auto" w:sz="4" w:space="0"/>
              <w:right w:val="single" w:color="auto" w:sz="4" w:space="0"/>
            </w:tcBorders>
            <w:shd w:val="clear" w:color="auto" w:fill="auto"/>
            <w:vAlign w:val="center"/>
          </w:tcPr>
          <w:p w14:paraId="5D5644E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检查有无甲亢、甲减等病变</w:t>
            </w:r>
          </w:p>
        </w:tc>
        <w:tc>
          <w:tcPr>
            <w:tcW w:w="1026" w:type="dxa"/>
            <w:tcBorders>
              <w:top w:val="nil"/>
              <w:left w:val="nil"/>
              <w:bottom w:val="single" w:color="auto" w:sz="4" w:space="0"/>
              <w:right w:val="single" w:color="auto" w:sz="4" w:space="0"/>
            </w:tcBorders>
            <w:shd w:val="clear" w:color="auto" w:fill="auto"/>
            <w:noWrap/>
            <w:vAlign w:val="center"/>
          </w:tcPr>
          <w:p w14:paraId="1C00F8FE">
            <w:pPr>
              <w:spacing w:line="360" w:lineRule="auto"/>
              <w:jc w:val="center"/>
              <w:rPr>
                <w:rFonts w:hint="eastAsia" w:ascii="宋体" w:hAnsi="宋体" w:eastAsia="宋体" w:cs="Times New Roman"/>
                <w:sz w:val="24"/>
                <w:szCs w:val="24"/>
              </w:rPr>
            </w:pPr>
          </w:p>
        </w:tc>
      </w:tr>
      <w:tr w14:paraId="1CFEA841">
        <w:tblPrEx>
          <w:tblCellMar>
            <w:top w:w="0" w:type="dxa"/>
            <w:left w:w="108" w:type="dxa"/>
            <w:bottom w:w="0" w:type="dxa"/>
            <w:right w:w="108" w:type="dxa"/>
          </w:tblCellMar>
        </w:tblPrEx>
        <w:trPr>
          <w:trHeight w:val="46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DFA1BA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17</w:t>
            </w:r>
          </w:p>
        </w:tc>
        <w:tc>
          <w:tcPr>
            <w:tcW w:w="1762" w:type="dxa"/>
            <w:tcBorders>
              <w:top w:val="nil"/>
              <w:left w:val="nil"/>
              <w:bottom w:val="single" w:color="auto" w:sz="4" w:space="0"/>
              <w:right w:val="single" w:color="auto" w:sz="4" w:space="0"/>
            </w:tcBorders>
            <w:shd w:val="clear" w:color="auto" w:fill="auto"/>
            <w:vAlign w:val="center"/>
          </w:tcPr>
          <w:p w14:paraId="6B3F9B9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心电图</w:t>
            </w:r>
          </w:p>
        </w:tc>
        <w:tc>
          <w:tcPr>
            <w:tcW w:w="5408" w:type="dxa"/>
            <w:tcBorders>
              <w:top w:val="nil"/>
              <w:left w:val="nil"/>
              <w:bottom w:val="single" w:color="auto" w:sz="4" w:space="0"/>
              <w:right w:val="single" w:color="auto" w:sz="4" w:space="0"/>
            </w:tcBorders>
            <w:shd w:val="clear" w:color="auto" w:fill="auto"/>
            <w:vAlign w:val="center"/>
          </w:tcPr>
          <w:p w14:paraId="013FE9B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检查有无心律失常、心肌病变等</w:t>
            </w:r>
          </w:p>
        </w:tc>
        <w:tc>
          <w:tcPr>
            <w:tcW w:w="1026" w:type="dxa"/>
            <w:tcBorders>
              <w:top w:val="nil"/>
              <w:left w:val="nil"/>
              <w:bottom w:val="single" w:color="auto" w:sz="4" w:space="0"/>
              <w:right w:val="single" w:color="auto" w:sz="4" w:space="0"/>
            </w:tcBorders>
            <w:shd w:val="clear" w:color="auto" w:fill="auto"/>
            <w:noWrap/>
            <w:vAlign w:val="center"/>
          </w:tcPr>
          <w:p w14:paraId="41FAD35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62D7ACCC">
        <w:tblPrEx>
          <w:tblCellMar>
            <w:top w:w="0" w:type="dxa"/>
            <w:left w:w="108" w:type="dxa"/>
            <w:bottom w:w="0" w:type="dxa"/>
            <w:right w:w="108" w:type="dxa"/>
          </w:tblCellMar>
        </w:tblPrEx>
        <w:trPr>
          <w:trHeight w:val="46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3F939F1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18</w:t>
            </w:r>
          </w:p>
        </w:tc>
        <w:tc>
          <w:tcPr>
            <w:tcW w:w="1762" w:type="dxa"/>
            <w:tcBorders>
              <w:top w:val="nil"/>
              <w:left w:val="nil"/>
              <w:bottom w:val="single" w:color="auto" w:sz="4" w:space="0"/>
              <w:right w:val="single" w:color="auto" w:sz="4" w:space="0"/>
            </w:tcBorders>
            <w:shd w:val="clear" w:color="auto" w:fill="auto"/>
            <w:vAlign w:val="center"/>
          </w:tcPr>
          <w:p w14:paraId="281AAAB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C13或者C14呼气试验</w:t>
            </w:r>
          </w:p>
        </w:tc>
        <w:tc>
          <w:tcPr>
            <w:tcW w:w="5408" w:type="dxa"/>
            <w:tcBorders>
              <w:top w:val="nil"/>
              <w:left w:val="nil"/>
              <w:bottom w:val="single" w:color="auto" w:sz="4" w:space="0"/>
              <w:right w:val="single" w:color="auto" w:sz="4" w:space="0"/>
            </w:tcBorders>
            <w:shd w:val="clear" w:color="auto" w:fill="auto"/>
            <w:vAlign w:val="center"/>
          </w:tcPr>
          <w:p w14:paraId="581C8F0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胃、十二指肠疾病幽门螺杆菌感染诊断，抗幽门螺杆菌药物疗效的评价</w:t>
            </w:r>
          </w:p>
        </w:tc>
        <w:tc>
          <w:tcPr>
            <w:tcW w:w="1026" w:type="dxa"/>
            <w:tcBorders>
              <w:top w:val="nil"/>
              <w:left w:val="nil"/>
              <w:bottom w:val="single" w:color="auto" w:sz="4" w:space="0"/>
              <w:right w:val="single" w:color="auto" w:sz="4" w:space="0"/>
            </w:tcBorders>
            <w:shd w:val="clear" w:color="auto" w:fill="auto"/>
            <w:noWrap/>
            <w:vAlign w:val="center"/>
          </w:tcPr>
          <w:p w14:paraId="4862CBD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5B9D0A5C">
        <w:tblPrEx>
          <w:tblCellMar>
            <w:top w:w="0" w:type="dxa"/>
            <w:left w:w="108" w:type="dxa"/>
            <w:bottom w:w="0" w:type="dxa"/>
            <w:right w:w="108" w:type="dxa"/>
          </w:tblCellMar>
        </w:tblPrEx>
        <w:trPr>
          <w:trHeight w:val="55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7EABA03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19</w:t>
            </w:r>
          </w:p>
        </w:tc>
        <w:tc>
          <w:tcPr>
            <w:tcW w:w="1762" w:type="dxa"/>
            <w:tcBorders>
              <w:top w:val="nil"/>
              <w:left w:val="nil"/>
              <w:bottom w:val="single" w:color="auto" w:sz="4" w:space="0"/>
              <w:right w:val="single" w:color="auto" w:sz="4" w:space="0"/>
            </w:tcBorders>
            <w:shd w:val="clear" w:color="auto" w:fill="auto"/>
            <w:vAlign w:val="center"/>
          </w:tcPr>
          <w:p w14:paraId="6507765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低剂量胸部螺旋CT</w:t>
            </w:r>
          </w:p>
        </w:tc>
        <w:tc>
          <w:tcPr>
            <w:tcW w:w="5408" w:type="dxa"/>
            <w:tcBorders>
              <w:top w:val="nil"/>
              <w:left w:val="nil"/>
              <w:bottom w:val="single" w:color="auto" w:sz="4" w:space="0"/>
              <w:right w:val="single" w:color="auto" w:sz="4" w:space="0"/>
            </w:tcBorders>
            <w:shd w:val="clear" w:color="auto" w:fill="auto"/>
            <w:vAlign w:val="center"/>
          </w:tcPr>
          <w:p w14:paraId="5AFA4E5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对直径小于1厘米的小肺癌，低剂量螺旋CT的检出阳性率较高</w:t>
            </w:r>
          </w:p>
        </w:tc>
        <w:tc>
          <w:tcPr>
            <w:tcW w:w="1026" w:type="dxa"/>
            <w:tcBorders>
              <w:top w:val="nil"/>
              <w:left w:val="nil"/>
              <w:bottom w:val="single" w:color="auto" w:sz="4" w:space="0"/>
              <w:right w:val="single" w:color="auto" w:sz="4" w:space="0"/>
            </w:tcBorders>
            <w:shd w:val="clear" w:color="auto" w:fill="auto"/>
            <w:noWrap/>
            <w:vAlign w:val="center"/>
          </w:tcPr>
          <w:p w14:paraId="616EEEB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063A34C5">
        <w:tblPrEx>
          <w:tblCellMar>
            <w:top w:w="0" w:type="dxa"/>
            <w:left w:w="108" w:type="dxa"/>
            <w:bottom w:w="0" w:type="dxa"/>
            <w:right w:w="108" w:type="dxa"/>
          </w:tblCellMar>
        </w:tblPrEx>
        <w:trPr>
          <w:trHeight w:val="405"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3008B34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20</w:t>
            </w:r>
          </w:p>
        </w:tc>
        <w:tc>
          <w:tcPr>
            <w:tcW w:w="1762" w:type="dxa"/>
            <w:tcBorders>
              <w:top w:val="nil"/>
              <w:left w:val="nil"/>
              <w:bottom w:val="single" w:color="auto" w:sz="4" w:space="0"/>
              <w:right w:val="single" w:color="auto" w:sz="4" w:space="0"/>
            </w:tcBorders>
            <w:shd w:val="clear" w:color="auto" w:fill="auto"/>
            <w:vAlign w:val="center"/>
          </w:tcPr>
          <w:p w14:paraId="3F771AE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腹部彩超全套</w:t>
            </w:r>
          </w:p>
        </w:tc>
        <w:tc>
          <w:tcPr>
            <w:tcW w:w="5408" w:type="dxa"/>
            <w:tcBorders>
              <w:top w:val="nil"/>
              <w:left w:val="nil"/>
              <w:bottom w:val="single" w:color="auto" w:sz="4" w:space="0"/>
              <w:right w:val="single" w:color="auto" w:sz="4" w:space="0"/>
            </w:tcBorders>
            <w:shd w:val="clear" w:color="auto" w:fill="auto"/>
            <w:vAlign w:val="center"/>
          </w:tcPr>
          <w:p w14:paraId="12AEC42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检查有无占位性病变、脂肪肝、肝胆结石等疾病</w:t>
            </w:r>
          </w:p>
        </w:tc>
        <w:tc>
          <w:tcPr>
            <w:tcW w:w="1026" w:type="dxa"/>
            <w:tcBorders>
              <w:top w:val="nil"/>
              <w:left w:val="nil"/>
              <w:bottom w:val="single" w:color="auto" w:sz="4" w:space="0"/>
              <w:right w:val="single" w:color="auto" w:sz="4" w:space="0"/>
            </w:tcBorders>
            <w:shd w:val="clear" w:color="auto" w:fill="auto"/>
            <w:noWrap/>
            <w:vAlign w:val="center"/>
          </w:tcPr>
          <w:p w14:paraId="1C3FF40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339CBBA5">
        <w:tblPrEx>
          <w:tblCellMar>
            <w:top w:w="0" w:type="dxa"/>
            <w:left w:w="108" w:type="dxa"/>
            <w:bottom w:w="0" w:type="dxa"/>
            <w:right w:w="108" w:type="dxa"/>
          </w:tblCellMar>
        </w:tblPrEx>
        <w:trPr>
          <w:trHeight w:val="33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212AA46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21</w:t>
            </w:r>
          </w:p>
        </w:tc>
        <w:tc>
          <w:tcPr>
            <w:tcW w:w="1762" w:type="dxa"/>
            <w:tcBorders>
              <w:top w:val="nil"/>
              <w:left w:val="nil"/>
              <w:bottom w:val="single" w:color="auto" w:sz="4" w:space="0"/>
              <w:right w:val="single" w:color="auto" w:sz="4" w:space="0"/>
            </w:tcBorders>
            <w:shd w:val="clear" w:color="auto" w:fill="auto"/>
            <w:vAlign w:val="center"/>
          </w:tcPr>
          <w:p w14:paraId="263139E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颈动脉彩超</w:t>
            </w:r>
          </w:p>
        </w:tc>
        <w:tc>
          <w:tcPr>
            <w:tcW w:w="5408" w:type="dxa"/>
            <w:tcBorders>
              <w:top w:val="nil"/>
              <w:left w:val="nil"/>
              <w:bottom w:val="single" w:color="auto" w:sz="4" w:space="0"/>
              <w:right w:val="single" w:color="auto" w:sz="4" w:space="0"/>
            </w:tcBorders>
            <w:shd w:val="clear" w:color="auto" w:fill="auto"/>
            <w:vAlign w:val="center"/>
          </w:tcPr>
          <w:p w14:paraId="68935DE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了解颈部大血管情况，有无颈动脉硬化、斑块形成、管腔狭窄、畸形等</w:t>
            </w:r>
          </w:p>
        </w:tc>
        <w:tc>
          <w:tcPr>
            <w:tcW w:w="1026" w:type="dxa"/>
            <w:tcBorders>
              <w:top w:val="nil"/>
              <w:left w:val="nil"/>
              <w:bottom w:val="single" w:color="auto" w:sz="4" w:space="0"/>
              <w:right w:val="single" w:color="auto" w:sz="4" w:space="0"/>
            </w:tcBorders>
            <w:shd w:val="clear" w:color="auto" w:fill="auto"/>
            <w:noWrap/>
            <w:vAlign w:val="center"/>
          </w:tcPr>
          <w:p w14:paraId="17DD1AB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63DA53E7">
        <w:tblPrEx>
          <w:tblCellMar>
            <w:top w:w="0" w:type="dxa"/>
            <w:left w:w="108" w:type="dxa"/>
            <w:bottom w:w="0" w:type="dxa"/>
            <w:right w:w="108" w:type="dxa"/>
          </w:tblCellMar>
        </w:tblPrEx>
        <w:trPr>
          <w:trHeight w:val="33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475ED33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22</w:t>
            </w:r>
          </w:p>
        </w:tc>
        <w:tc>
          <w:tcPr>
            <w:tcW w:w="1762" w:type="dxa"/>
            <w:tcBorders>
              <w:top w:val="nil"/>
              <w:left w:val="nil"/>
              <w:bottom w:val="single" w:color="auto" w:sz="4" w:space="0"/>
              <w:right w:val="single" w:color="auto" w:sz="4" w:space="0"/>
            </w:tcBorders>
            <w:shd w:val="clear" w:color="auto" w:fill="auto"/>
            <w:vAlign w:val="center"/>
          </w:tcPr>
          <w:p w14:paraId="3CE5B27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甲状腺彩超</w:t>
            </w:r>
          </w:p>
        </w:tc>
        <w:tc>
          <w:tcPr>
            <w:tcW w:w="5408" w:type="dxa"/>
            <w:tcBorders>
              <w:top w:val="nil"/>
              <w:left w:val="nil"/>
              <w:bottom w:val="single" w:color="auto" w:sz="4" w:space="0"/>
              <w:right w:val="single" w:color="auto" w:sz="4" w:space="0"/>
            </w:tcBorders>
            <w:shd w:val="clear" w:color="auto" w:fill="auto"/>
            <w:vAlign w:val="center"/>
          </w:tcPr>
          <w:p w14:paraId="0D1A120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了解甲状腺是否有结节、肿瘤等情况</w:t>
            </w:r>
          </w:p>
        </w:tc>
        <w:tc>
          <w:tcPr>
            <w:tcW w:w="1026" w:type="dxa"/>
            <w:tcBorders>
              <w:top w:val="nil"/>
              <w:left w:val="nil"/>
              <w:bottom w:val="single" w:color="auto" w:sz="4" w:space="0"/>
              <w:right w:val="single" w:color="auto" w:sz="4" w:space="0"/>
            </w:tcBorders>
            <w:shd w:val="clear" w:color="auto" w:fill="auto"/>
            <w:noWrap/>
            <w:vAlign w:val="center"/>
          </w:tcPr>
          <w:p w14:paraId="6919251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137FEE8B">
        <w:tblPrEx>
          <w:tblCellMar>
            <w:top w:w="0" w:type="dxa"/>
            <w:left w:w="108" w:type="dxa"/>
            <w:bottom w:w="0" w:type="dxa"/>
            <w:right w:w="108" w:type="dxa"/>
          </w:tblCellMar>
        </w:tblPrEx>
        <w:trPr>
          <w:trHeight w:val="33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2EC5D9A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23</w:t>
            </w:r>
          </w:p>
        </w:tc>
        <w:tc>
          <w:tcPr>
            <w:tcW w:w="1762" w:type="dxa"/>
            <w:tcBorders>
              <w:top w:val="nil"/>
              <w:left w:val="nil"/>
              <w:bottom w:val="single" w:color="auto" w:sz="4" w:space="0"/>
              <w:right w:val="single" w:color="auto" w:sz="4" w:space="0"/>
            </w:tcBorders>
            <w:shd w:val="clear" w:color="auto" w:fill="auto"/>
            <w:vAlign w:val="center"/>
          </w:tcPr>
          <w:p w14:paraId="2A25C50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经颅彩色多普勒</w:t>
            </w:r>
          </w:p>
        </w:tc>
        <w:tc>
          <w:tcPr>
            <w:tcW w:w="5408" w:type="dxa"/>
            <w:tcBorders>
              <w:top w:val="nil"/>
              <w:left w:val="nil"/>
              <w:bottom w:val="single" w:color="auto" w:sz="4" w:space="0"/>
              <w:right w:val="single" w:color="auto" w:sz="4" w:space="0"/>
            </w:tcBorders>
            <w:shd w:val="clear" w:color="auto" w:fill="auto"/>
            <w:vAlign w:val="center"/>
          </w:tcPr>
          <w:p w14:paraId="59E464B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检查颅脑血管有无痉挛、供血不足等</w:t>
            </w:r>
          </w:p>
        </w:tc>
        <w:tc>
          <w:tcPr>
            <w:tcW w:w="1026" w:type="dxa"/>
            <w:tcBorders>
              <w:top w:val="nil"/>
              <w:left w:val="nil"/>
              <w:bottom w:val="single" w:color="auto" w:sz="4" w:space="0"/>
              <w:right w:val="single" w:color="auto" w:sz="4" w:space="0"/>
            </w:tcBorders>
            <w:shd w:val="clear" w:color="auto" w:fill="auto"/>
            <w:noWrap/>
            <w:vAlign w:val="center"/>
          </w:tcPr>
          <w:p w14:paraId="03567BB4">
            <w:pPr>
              <w:spacing w:line="360" w:lineRule="auto"/>
              <w:jc w:val="center"/>
              <w:rPr>
                <w:rFonts w:hint="eastAsia" w:ascii="宋体" w:hAnsi="宋体" w:eastAsia="宋体" w:cs="Times New Roman"/>
                <w:sz w:val="24"/>
                <w:szCs w:val="24"/>
              </w:rPr>
            </w:pPr>
          </w:p>
        </w:tc>
      </w:tr>
      <w:tr w14:paraId="3652DCFC">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7CF9770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24</w:t>
            </w:r>
          </w:p>
        </w:tc>
        <w:tc>
          <w:tcPr>
            <w:tcW w:w="1762" w:type="dxa"/>
            <w:tcBorders>
              <w:top w:val="nil"/>
              <w:left w:val="nil"/>
              <w:bottom w:val="single" w:color="auto" w:sz="4" w:space="0"/>
              <w:right w:val="single" w:color="auto" w:sz="4" w:space="0"/>
            </w:tcBorders>
            <w:shd w:val="clear" w:color="auto" w:fill="auto"/>
            <w:vAlign w:val="center"/>
          </w:tcPr>
          <w:p w14:paraId="570632C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CA125</w:t>
            </w:r>
          </w:p>
        </w:tc>
        <w:tc>
          <w:tcPr>
            <w:tcW w:w="5408" w:type="dxa"/>
            <w:tcBorders>
              <w:top w:val="nil"/>
              <w:left w:val="nil"/>
              <w:bottom w:val="single" w:color="auto" w:sz="4" w:space="0"/>
              <w:right w:val="single" w:color="auto" w:sz="4" w:space="0"/>
            </w:tcBorders>
            <w:shd w:val="clear" w:color="auto" w:fill="auto"/>
            <w:vAlign w:val="center"/>
          </w:tcPr>
          <w:p w14:paraId="7B39018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主要用于筛查女性卵巢癌</w:t>
            </w:r>
          </w:p>
        </w:tc>
        <w:tc>
          <w:tcPr>
            <w:tcW w:w="1026" w:type="dxa"/>
            <w:tcBorders>
              <w:top w:val="nil"/>
              <w:left w:val="nil"/>
              <w:bottom w:val="single" w:color="auto" w:sz="4" w:space="0"/>
              <w:right w:val="single" w:color="auto" w:sz="4" w:space="0"/>
            </w:tcBorders>
            <w:shd w:val="clear" w:color="auto" w:fill="auto"/>
            <w:noWrap/>
            <w:vAlign w:val="center"/>
          </w:tcPr>
          <w:p w14:paraId="604C39C0">
            <w:pPr>
              <w:spacing w:line="360" w:lineRule="auto"/>
              <w:jc w:val="center"/>
              <w:rPr>
                <w:rFonts w:hint="eastAsia" w:ascii="宋体" w:hAnsi="宋体" w:eastAsia="宋体" w:cs="Times New Roman"/>
                <w:sz w:val="24"/>
                <w:szCs w:val="24"/>
              </w:rPr>
            </w:pPr>
          </w:p>
        </w:tc>
      </w:tr>
      <w:tr w14:paraId="51AA83DD">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35E42F9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25</w:t>
            </w:r>
          </w:p>
        </w:tc>
        <w:tc>
          <w:tcPr>
            <w:tcW w:w="1762" w:type="dxa"/>
            <w:tcBorders>
              <w:top w:val="nil"/>
              <w:left w:val="nil"/>
              <w:bottom w:val="single" w:color="auto" w:sz="4" w:space="0"/>
              <w:right w:val="single" w:color="auto" w:sz="4" w:space="0"/>
            </w:tcBorders>
            <w:shd w:val="clear" w:color="auto" w:fill="auto"/>
            <w:vAlign w:val="center"/>
          </w:tcPr>
          <w:p w14:paraId="3AC7CDF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乳腺彩超</w:t>
            </w:r>
          </w:p>
        </w:tc>
        <w:tc>
          <w:tcPr>
            <w:tcW w:w="5408" w:type="dxa"/>
            <w:tcBorders>
              <w:top w:val="nil"/>
              <w:left w:val="nil"/>
              <w:bottom w:val="single" w:color="auto" w:sz="4" w:space="0"/>
              <w:right w:val="single" w:color="auto" w:sz="4" w:space="0"/>
            </w:tcBorders>
            <w:shd w:val="clear" w:color="auto" w:fill="auto"/>
            <w:vAlign w:val="center"/>
          </w:tcPr>
          <w:p w14:paraId="2261EBF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诊断乳腺增生、肿物、结节、囊肿、腺瘤等</w:t>
            </w:r>
          </w:p>
        </w:tc>
        <w:tc>
          <w:tcPr>
            <w:tcW w:w="1026" w:type="dxa"/>
            <w:tcBorders>
              <w:top w:val="nil"/>
              <w:left w:val="nil"/>
              <w:bottom w:val="single" w:color="auto" w:sz="4" w:space="0"/>
              <w:right w:val="single" w:color="auto" w:sz="4" w:space="0"/>
            </w:tcBorders>
            <w:shd w:val="clear" w:color="auto" w:fill="auto"/>
            <w:noWrap/>
            <w:vAlign w:val="center"/>
          </w:tcPr>
          <w:p w14:paraId="25355872">
            <w:pPr>
              <w:spacing w:line="360" w:lineRule="auto"/>
              <w:jc w:val="center"/>
              <w:rPr>
                <w:rFonts w:hint="eastAsia" w:ascii="宋体" w:hAnsi="宋体" w:eastAsia="宋体" w:cs="Times New Roman"/>
                <w:sz w:val="24"/>
                <w:szCs w:val="24"/>
              </w:rPr>
            </w:pPr>
          </w:p>
        </w:tc>
      </w:tr>
      <w:tr w14:paraId="4F005D0E">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73B51B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26</w:t>
            </w:r>
          </w:p>
        </w:tc>
        <w:tc>
          <w:tcPr>
            <w:tcW w:w="1762" w:type="dxa"/>
            <w:tcBorders>
              <w:top w:val="nil"/>
              <w:left w:val="nil"/>
              <w:bottom w:val="single" w:color="auto" w:sz="4" w:space="0"/>
              <w:right w:val="single" w:color="auto" w:sz="4" w:space="0"/>
            </w:tcBorders>
            <w:shd w:val="clear" w:color="auto" w:fill="auto"/>
            <w:vAlign w:val="center"/>
          </w:tcPr>
          <w:p w14:paraId="75470DF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妇科检查</w:t>
            </w:r>
          </w:p>
        </w:tc>
        <w:tc>
          <w:tcPr>
            <w:tcW w:w="5408" w:type="dxa"/>
            <w:tcBorders>
              <w:top w:val="nil"/>
              <w:left w:val="nil"/>
              <w:bottom w:val="single" w:color="auto" w:sz="4" w:space="0"/>
              <w:right w:val="single" w:color="auto" w:sz="4" w:space="0"/>
            </w:tcBorders>
            <w:shd w:val="clear" w:color="auto" w:fill="auto"/>
            <w:vAlign w:val="center"/>
          </w:tcPr>
          <w:p w14:paraId="1535D19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通过内诊、宫颈刮片等检查方法，排除妇科常见的阴道炎、宫颈炎以及妇科肿瘤等疾病</w:t>
            </w:r>
          </w:p>
        </w:tc>
        <w:tc>
          <w:tcPr>
            <w:tcW w:w="1026" w:type="dxa"/>
            <w:tcBorders>
              <w:top w:val="nil"/>
              <w:left w:val="nil"/>
              <w:bottom w:val="single" w:color="auto" w:sz="4" w:space="0"/>
              <w:right w:val="single" w:color="auto" w:sz="4" w:space="0"/>
            </w:tcBorders>
            <w:shd w:val="clear" w:color="auto" w:fill="auto"/>
            <w:noWrap/>
            <w:vAlign w:val="center"/>
          </w:tcPr>
          <w:p w14:paraId="5B9DA331">
            <w:pPr>
              <w:spacing w:line="360" w:lineRule="auto"/>
              <w:jc w:val="center"/>
              <w:rPr>
                <w:rFonts w:hint="eastAsia" w:ascii="宋体" w:hAnsi="宋体" w:eastAsia="宋体" w:cs="Times New Roman"/>
                <w:sz w:val="24"/>
                <w:szCs w:val="24"/>
              </w:rPr>
            </w:pPr>
          </w:p>
        </w:tc>
      </w:tr>
      <w:tr w14:paraId="520EAFE8">
        <w:tblPrEx>
          <w:tblCellMar>
            <w:top w:w="0" w:type="dxa"/>
            <w:left w:w="108" w:type="dxa"/>
            <w:bottom w:w="0" w:type="dxa"/>
            <w:right w:w="108" w:type="dxa"/>
          </w:tblCellMar>
        </w:tblPrEx>
        <w:trPr>
          <w:trHeight w:val="548"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03A27E7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27</w:t>
            </w:r>
          </w:p>
        </w:tc>
        <w:tc>
          <w:tcPr>
            <w:tcW w:w="1762" w:type="dxa"/>
            <w:tcBorders>
              <w:top w:val="nil"/>
              <w:left w:val="nil"/>
              <w:bottom w:val="single" w:color="auto" w:sz="4" w:space="0"/>
              <w:right w:val="single" w:color="auto" w:sz="4" w:space="0"/>
            </w:tcBorders>
            <w:shd w:val="clear" w:color="auto" w:fill="auto"/>
            <w:vAlign w:val="center"/>
          </w:tcPr>
          <w:p w14:paraId="4F9C917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白带检查</w:t>
            </w:r>
          </w:p>
        </w:tc>
        <w:tc>
          <w:tcPr>
            <w:tcW w:w="5408" w:type="dxa"/>
            <w:tcBorders>
              <w:top w:val="nil"/>
              <w:left w:val="nil"/>
              <w:bottom w:val="single" w:color="auto" w:sz="4" w:space="0"/>
              <w:right w:val="single" w:color="auto" w:sz="4" w:space="0"/>
            </w:tcBorders>
            <w:shd w:val="clear" w:color="auto" w:fill="auto"/>
            <w:vAlign w:val="center"/>
          </w:tcPr>
          <w:p w14:paraId="0392A4B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阴道炎症的检测</w:t>
            </w:r>
          </w:p>
        </w:tc>
        <w:tc>
          <w:tcPr>
            <w:tcW w:w="1026" w:type="dxa"/>
            <w:tcBorders>
              <w:top w:val="nil"/>
              <w:left w:val="nil"/>
              <w:bottom w:val="single" w:color="auto" w:sz="4" w:space="0"/>
              <w:right w:val="single" w:color="auto" w:sz="4" w:space="0"/>
            </w:tcBorders>
            <w:shd w:val="clear" w:color="auto" w:fill="auto"/>
            <w:noWrap/>
            <w:vAlign w:val="center"/>
          </w:tcPr>
          <w:p w14:paraId="78B2B3AD">
            <w:pPr>
              <w:spacing w:line="360" w:lineRule="auto"/>
              <w:jc w:val="center"/>
              <w:rPr>
                <w:rFonts w:hint="eastAsia" w:ascii="宋体" w:hAnsi="宋体" w:eastAsia="宋体" w:cs="Times New Roman"/>
                <w:sz w:val="24"/>
                <w:szCs w:val="24"/>
              </w:rPr>
            </w:pPr>
          </w:p>
        </w:tc>
      </w:tr>
      <w:tr w14:paraId="6747D574">
        <w:tblPrEx>
          <w:tblCellMar>
            <w:top w:w="0" w:type="dxa"/>
            <w:left w:w="108" w:type="dxa"/>
            <w:bottom w:w="0" w:type="dxa"/>
            <w:right w:w="108" w:type="dxa"/>
          </w:tblCellMar>
        </w:tblPrEx>
        <w:trPr>
          <w:trHeight w:val="540" w:hRule="atLeast"/>
        </w:trPr>
        <w:tc>
          <w:tcPr>
            <w:tcW w:w="633" w:type="dxa"/>
            <w:tcBorders>
              <w:top w:val="nil"/>
              <w:left w:val="single" w:color="auto" w:sz="4" w:space="0"/>
              <w:bottom w:val="single" w:color="auto" w:sz="4" w:space="0"/>
              <w:right w:val="single" w:color="auto" w:sz="4" w:space="0"/>
            </w:tcBorders>
            <w:shd w:val="clear" w:color="auto" w:fill="auto"/>
            <w:noWrap/>
            <w:vAlign w:val="center"/>
          </w:tcPr>
          <w:p w14:paraId="5DD0CAD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28</w:t>
            </w:r>
          </w:p>
        </w:tc>
        <w:tc>
          <w:tcPr>
            <w:tcW w:w="1762" w:type="dxa"/>
            <w:tcBorders>
              <w:top w:val="nil"/>
              <w:left w:val="nil"/>
              <w:bottom w:val="single" w:color="auto" w:sz="4" w:space="0"/>
              <w:right w:val="single" w:color="auto" w:sz="4" w:space="0"/>
            </w:tcBorders>
            <w:shd w:val="clear" w:color="auto" w:fill="auto"/>
            <w:vAlign w:val="center"/>
          </w:tcPr>
          <w:p w14:paraId="15B6F73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液基超薄细胞检测（TCT)</w:t>
            </w:r>
          </w:p>
        </w:tc>
        <w:tc>
          <w:tcPr>
            <w:tcW w:w="5408" w:type="dxa"/>
            <w:tcBorders>
              <w:top w:val="nil"/>
              <w:left w:val="nil"/>
              <w:bottom w:val="single" w:color="auto" w:sz="4" w:space="0"/>
              <w:right w:val="single" w:color="auto" w:sz="4" w:space="0"/>
            </w:tcBorders>
            <w:shd w:val="clear" w:color="auto" w:fill="auto"/>
            <w:vAlign w:val="center"/>
          </w:tcPr>
          <w:p w14:paraId="0DE553B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在筛查宫颈癌和癌前病变较传统巴氏涂片更科学、更准确的一种防癌筛查技术</w:t>
            </w:r>
          </w:p>
        </w:tc>
        <w:tc>
          <w:tcPr>
            <w:tcW w:w="1026" w:type="dxa"/>
            <w:tcBorders>
              <w:top w:val="nil"/>
              <w:left w:val="nil"/>
              <w:bottom w:val="single" w:color="auto" w:sz="4" w:space="0"/>
              <w:right w:val="single" w:color="auto" w:sz="4" w:space="0"/>
            </w:tcBorders>
            <w:shd w:val="clear" w:color="auto" w:fill="auto"/>
            <w:noWrap/>
            <w:vAlign w:val="center"/>
          </w:tcPr>
          <w:p w14:paraId="51394220">
            <w:pPr>
              <w:spacing w:line="360" w:lineRule="auto"/>
              <w:jc w:val="center"/>
              <w:rPr>
                <w:rFonts w:hint="eastAsia" w:ascii="宋体" w:hAnsi="宋体" w:eastAsia="宋体" w:cs="Times New Roman"/>
                <w:sz w:val="24"/>
                <w:szCs w:val="24"/>
              </w:rPr>
            </w:pPr>
          </w:p>
        </w:tc>
      </w:tr>
    </w:tbl>
    <w:p w14:paraId="41289A48">
      <w:pPr>
        <w:spacing w:line="360" w:lineRule="auto"/>
        <w:jc w:val="center"/>
        <w:rPr>
          <w:rFonts w:hint="eastAsia" w:ascii="宋体" w:hAnsi="宋体" w:eastAsia="宋体" w:cs="Times New Roman"/>
          <w:sz w:val="24"/>
          <w:szCs w:val="24"/>
        </w:rPr>
      </w:pPr>
    </w:p>
    <w:p w14:paraId="66CF765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2．自选套餐</w:t>
      </w:r>
    </w:p>
    <w:tbl>
      <w:tblPr>
        <w:tblStyle w:val="23"/>
        <w:tblW w:w="893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1762"/>
        <w:gridCol w:w="5408"/>
        <w:gridCol w:w="1133"/>
      </w:tblGrid>
      <w:tr w14:paraId="59A2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restart"/>
            <w:shd w:val="clear" w:color="auto" w:fill="auto"/>
            <w:noWrap/>
            <w:vAlign w:val="center"/>
          </w:tcPr>
          <w:p w14:paraId="2BEF5A1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套餐</w:t>
            </w:r>
          </w:p>
          <w:p w14:paraId="0547C6A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1762" w:type="dxa"/>
            <w:shd w:val="clear" w:color="auto" w:fill="auto"/>
            <w:vAlign w:val="center"/>
          </w:tcPr>
          <w:p w14:paraId="12540CF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腰椎CT</w:t>
            </w:r>
          </w:p>
        </w:tc>
        <w:tc>
          <w:tcPr>
            <w:tcW w:w="5408" w:type="dxa"/>
            <w:shd w:val="clear" w:color="auto" w:fill="auto"/>
            <w:vAlign w:val="center"/>
          </w:tcPr>
          <w:p w14:paraId="6216606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清楚地显示椎间盘突出的部位、大小、形态，是腰椎间盘突出诊断中极为重要的依据</w:t>
            </w:r>
          </w:p>
        </w:tc>
        <w:tc>
          <w:tcPr>
            <w:tcW w:w="1133" w:type="dxa"/>
            <w:vMerge w:val="restart"/>
            <w:shd w:val="clear" w:color="auto" w:fill="auto"/>
            <w:vAlign w:val="center"/>
          </w:tcPr>
          <w:p w14:paraId="4A8D5B4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四选二</w:t>
            </w:r>
          </w:p>
          <w:p w14:paraId="3987962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p w14:paraId="2DCAC5C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p w14:paraId="01CA203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0ED1E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503CD275">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6B0E4DE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颈椎CT</w:t>
            </w:r>
          </w:p>
        </w:tc>
        <w:tc>
          <w:tcPr>
            <w:tcW w:w="5408" w:type="dxa"/>
            <w:shd w:val="clear" w:color="auto" w:fill="auto"/>
            <w:vAlign w:val="center"/>
          </w:tcPr>
          <w:p w14:paraId="6E145BA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xml:space="preserve">确认是否存在明显的骨化、钙化或者颈椎管狭窄 </w:t>
            </w:r>
          </w:p>
        </w:tc>
        <w:tc>
          <w:tcPr>
            <w:tcW w:w="1133" w:type="dxa"/>
            <w:vMerge w:val="continue"/>
            <w:shd w:val="clear" w:color="auto" w:fill="auto"/>
            <w:noWrap/>
            <w:vAlign w:val="center"/>
          </w:tcPr>
          <w:p w14:paraId="6FE98A96">
            <w:pPr>
              <w:spacing w:line="360" w:lineRule="auto"/>
              <w:jc w:val="center"/>
              <w:rPr>
                <w:rFonts w:hint="eastAsia" w:ascii="宋体" w:hAnsi="宋体" w:eastAsia="宋体" w:cs="Times New Roman"/>
                <w:sz w:val="24"/>
                <w:szCs w:val="24"/>
              </w:rPr>
            </w:pPr>
          </w:p>
        </w:tc>
      </w:tr>
      <w:tr w14:paraId="10B1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2DEC09FB">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0B0AD87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腹部CT</w:t>
            </w:r>
          </w:p>
        </w:tc>
        <w:tc>
          <w:tcPr>
            <w:tcW w:w="5408" w:type="dxa"/>
            <w:shd w:val="clear" w:color="auto" w:fill="auto"/>
            <w:vAlign w:val="center"/>
          </w:tcPr>
          <w:p w14:paraId="054128A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检查腹部脏器有无占位等情况</w:t>
            </w:r>
          </w:p>
        </w:tc>
        <w:tc>
          <w:tcPr>
            <w:tcW w:w="1133" w:type="dxa"/>
            <w:vMerge w:val="continue"/>
            <w:shd w:val="clear" w:color="auto" w:fill="auto"/>
            <w:noWrap/>
            <w:vAlign w:val="center"/>
          </w:tcPr>
          <w:p w14:paraId="5381EC40">
            <w:pPr>
              <w:spacing w:line="360" w:lineRule="auto"/>
              <w:jc w:val="center"/>
              <w:rPr>
                <w:rFonts w:hint="eastAsia" w:ascii="宋体" w:hAnsi="宋体" w:eastAsia="宋体" w:cs="Times New Roman"/>
                <w:sz w:val="24"/>
                <w:szCs w:val="24"/>
              </w:rPr>
            </w:pPr>
          </w:p>
        </w:tc>
      </w:tr>
      <w:tr w14:paraId="48AAA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0978756B">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1707F67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头颅CT</w:t>
            </w:r>
          </w:p>
        </w:tc>
        <w:tc>
          <w:tcPr>
            <w:tcW w:w="5408" w:type="dxa"/>
            <w:shd w:val="clear" w:color="auto" w:fill="auto"/>
            <w:vAlign w:val="center"/>
          </w:tcPr>
          <w:p w14:paraId="48642B9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筛查各种神经系统疾病最常用的检查方法</w:t>
            </w:r>
          </w:p>
        </w:tc>
        <w:tc>
          <w:tcPr>
            <w:tcW w:w="1133" w:type="dxa"/>
            <w:vMerge w:val="continue"/>
            <w:shd w:val="clear" w:color="auto" w:fill="auto"/>
            <w:noWrap/>
            <w:vAlign w:val="center"/>
          </w:tcPr>
          <w:p w14:paraId="5421C2CB">
            <w:pPr>
              <w:spacing w:line="360" w:lineRule="auto"/>
              <w:jc w:val="center"/>
              <w:rPr>
                <w:rFonts w:hint="eastAsia" w:ascii="宋体" w:hAnsi="宋体" w:eastAsia="宋体" w:cs="Times New Roman"/>
                <w:sz w:val="24"/>
                <w:szCs w:val="24"/>
              </w:rPr>
            </w:pPr>
          </w:p>
        </w:tc>
      </w:tr>
      <w:tr w14:paraId="6F9C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restart"/>
            <w:shd w:val="clear" w:color="auto" w:fill="auto"/>
            <w:noWrap/>
            <w:vAlign w:val="center"/>
          </w:tcPr>
          <w:p w14:paraId="3452613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套餐</w:t>
            </w:r>
          </w:p>
          <w:p w14:paraId="71E10C8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1762" w:type="dxa"/>
            <w:shd w:val="clear" w:color="auto" w:fill="auto"/>
            <w:vAlign w:val="center"/>
          </w:tcPr>
          <w:p w14:paraId="6B4F88C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无痛胃镜</w:t>
            </w:r>
          </w:p>
        </w:tc>
        <w:tc>
          <w:tcPr>
            <w:tcW w:w="5408" w:type="dxa"/>
            <w:shd w:val="clear" w:color="auto" w:fill="auto"/>
            <w:vAlign w:val="center"/>
          </w:tcPr>
          <w:p w14:paraId="789F3AA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食道、胃部炎症、息肉及其他病变</w:t>
            </w:r>
          </w:p>
        </w:tc>
        <w:tc>
          <w:tcPr>
            <w:tcW w:w="1133" w:type="dxa"/>
            <w:vMerge w:val="restart"/>
            <w:shd w:val="clear" w:color="auto" w:fill="auto"/>
            <w:noWrap/>
            <w:vAlign w:val="center"/>
          </w:tcPr>
          <w:p w14:paraId="7422ACD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六选一</w:t>
            </w:r>
          </w:p>
        </w:tc>
      </w:tr>
      <w:tr w14:paraId="51C3E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0C7E4477">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7C235CF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无痛肠镜</w:t>
            </w:r>
          </w:p>
        </w:tc>
        <w:tc>
          <w:tcPr>
            <w:tcW w:w="5408" w:type="dxa"/>
            <w:shd w:val="clear" w:color="auto" w:fill="auto"/>
            <w:vAlign w:val="center"/>
          </w:tcPr>
          <w:p w14:paraId="3A4B28B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肠道炎症、溃疡、息肉及其他病变</w:t>
            </w:r>
          </w:p>
        </w:tc>
        <w:tc>
          <w:tcPr>
            <w:tcW w:w="1133" w:type="dxa"/>
            <w:vMerge w:val="continue"/>
            <w:shd w:val="clear" w:color="auto" w:fill="auto"/>
            <w:noWrap/>
            <w:vAlign w:val="center"/>
          </w:tcPr>
          <w:p w14:paraId="57BD2E83">
            <w:pPr>
              <w:spacing w:line="360" w:lineRule="auto"/>
              <w:jc w:val="center"/>
              <w:rPr>
                <w:rFonts w:hint="eastAsia" w:ascii="宋体" w:hAnsi="宋体" w:eastAsia="宋体" w:cs="Times New Roman"/>
                <w:sz w:val="24"/>
                <w:szCs w:val="24"/>
              </w:rPr>
            </w:pPr>
          </w:p>
        </w:tc>
      </w:tr>
      <w:tr w14:paraId="1C24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795CF59E">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2CEA2ED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头颅核磁共振</w:t>
            </w:r>
          </w:p>
        </w:tc>
        <w:tc>
          <w:tcPr>
            <w:tcW w:w="5408" w:type="dxa"/>
            <w:shd w:val="clear" w:color="auto" w:fill="auto"/>
            <w:vAlign w:val="center"/>
          </w:tcPr>
          <w:p w14:paraId="44A31BB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筛查各种神经系统疾病最常用的检查方法</w:t>
            </w:r>
          </w:p>
        </w:tc>
        <w:tc>
          <w:tcPr>
            <w:tcW w:w="1133" w:type="dxa"/>
            <w:vMerge w:val="continue"/>
            <w:shd w:val="clear" w:color="auto" w:fill="auto"/>
            <w:noWrap/>
            <w:vAlign w:val="center"/>
          </w:tcPr>
          <w:p w14:paraId="52809952">
            <w:pPr>
              <w:spacing w:line="360" w:lineRule="auto"/>
              <w:jc w:val="center"/>
              <w:rPr>
                <w:rFonts w:hint="eastAsia" w:ascii="宋体" w:hAnsi="宋体" w:eastAsia="宋体" w:cs="Times New Roman"/>
                <w:sz w:val="24"/>
                <w:szCs w:val="24"/>
              </w:rPr>
            </w:pPr>
          </w:p>
        </w:tc>
      </w:tr>
      <w:tr w14:paraId="4F85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473B7B58">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1809495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腰椎核磁共振</w:t>
            </w:r>
          </w:p>
        </w:tc>
        <w:tc>
          <w:tcPr>
            <w:tcW w:w="5408" w:type="dxa"/>
            <w:shd w:val="clear" w:color="auto" w:fill="auto"/>
            <w:vAlign w:val="center"/>
          </w:tcPr>
          <w:p w14:paraId="0F4C506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清楚地显示椎间盘突出的部位、大小、形态，是腰椎间盘突出诊断中极为重要的依据</w:t>
            </w:r>
          </w:p>
        </w:tc>
        <w:tc>
          <w:tcPr>
            <w:tcW w:w="1133" w:type="dxa"/>
            <w:vMerge w:val="continue"/>
            <w:shd w:val="clear" w:color="auto" w:fill="auto"/>
            <w:noWrap/>
            <w:vAlign w:val="center"/>
          </w:tcPr>
          <w:p w14:paraId="6FCC48B5">
            <w:pPr>
              <w:spacing w:line="360" w:lineRule="auto"/>
              <w:jc w:val="center"/>
              <w:rPr>
                <w:rFonts w:hint="eastAsia" w:ascii="宋体" w:hAnsi="宋体" w:eastAsia="宋体" w:cs="Times New Roman"/>
                <w:sz w:val="24"/>
                <w:szCs w:val="24"/>
              </w:rPr>
            </w:pPr>
          </w:p>
        </w:tc>
      </w:tr>
      <w:tr w14:paraId="1DD6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4E6164D8">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190BA0A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颈椎核磁共振</w:t>
            </w:r>
          </w:p>
        </w:tc>
        <w:tc>
          <w:tcPr>
            <w:tcW w:w="5408" w:type="dxa"/>
            <w:shd w:val="clear" w:color="auto" w:fill="auto"/>
            <w:vAlign w:val="center"/>
          </w:tcPr>
          <w:p w14:paraId="2E041F4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xml:space="preserve">确认是否存在明显的骨化、钙化或者颈椎管狭窄 </w:t>
            </w:r>
          </w:p>
        </w:tc>
        <w:tc>
          <w:tcPr>
            <w:tcW w:w="1133" w:type="dxa"/>
            <w:vMerge w:val="continue"/>
            <w:shd w:val="clear" w:color="auto" w:fill="auto"/>
            <w:noWrap/>
            <w:vAlign w:val="center"/>
          </w:tcPr>
          <w:p w14:paraId="03D3C08C">
            <w:pPr>
              <w:spacing w:line="360" w:lineRule="auto"/>
              <w:jc w:val="center"/>
              <w:rPr>
                <w:rFonts w:hint="eastAsia" w:ascii="宋体" w:hAnsi="宋体" w:eastAsia="宋体" w:cs="Times New Roman"/>
                <w:sz w:val="24"/>
                <w:szCs w:val="24"/>
              </w:rPr>
            </w:pPr>
          </w:p>
        </w:tc>
      </w:tr>
      <w:tr w14:paraId="6105D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30F922D3">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6DF7500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腹部核磁共振</w:t>
            </w:r>
          </w:p>
        </w:tc>
        <w:tc>
          <w:tcPr>
            <w:tcW w:w="5408" w:type="dxa"/>
            <w:shd w:val="clear" w:color="auto" w:fill="auto"/>
            <w:vAlign w:val="center"/>
          </w:tcPr>
          <w:p w14:paraId="38CC609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检查腹部脏器有无占位等情况</w:t>
            </w:r>
          </w:p>
        </w:tc>
        <w:tc>
          <w:tcPr>
            <w:tcW w:w="1133" w:type="dxa"/>
            <w:vMerge w:val="continue"/>
            <w:shd w:val="clear" w:color="auto" w:fill="auto"/>
            <w:noWrap/>
            <w:vAlign w:val="center"/>
          </w:tcPr>
          <w:p w14:paraId="3CC92068">
            <w:pPr>
              <w:spacing w:line="360" w:lineRule="auto"/>
              <w:jc w:val="center"/>
              <w:rPr>
                <w:rFonts w:hint="eastAsia" w:ascii="宋体" w:hAnsi="宋体" w:eastAsia="宋体" w:cs="Times New Roman"/>
                <w:sz w:val="24"/>
                <w:szCs w:val="24"/>
              </w:rPr>
            </w:pPr>
          </w:p>
        </w:tc>
      </w:tr>
      <w:tr w14:paraId="4D570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restart"/>
            <w:shd w:val="clear" w:color="auto" w:fill="auto"/>
            <w:noWrap/>
            <w:vAlign w:val="center"/>
          </w:tcPr>
          <w:p w14:paraId="2E5C825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套餐</w:t>
            </w:r>
          </w:p>
          <w:p w14:paraId="3EDE3F9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1762" w:type="dxa"/>
            <w:shd w:val="clear" w:color="auto" w:fill="auto"/>
            <w:vAlign w:val="center"/>
          </w:tcPr>
          <w:p w14:paraId="2498CD6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骨密度</w:t>
            </w:r>
          </w:p>
        </w:tc>
        <w:tc>
          <w:tcPr>
            <w:tcW w:w="5408" w:type="dxa"/>
            <w:shd w:val="clear" w:color="auto" w:fill="auto"/>
            <w:vAlign w:val="center"/>
          </w:tcPr>
          <w:p w14:paraId="5F14E66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诊断有无骨质减少、骨质疏松，预测骨折危险性</w:t>
            </w:r>
          </w:p>
        </w:tc>
        <w:tc>
          <w:tcPr>
            <w:tcW w:w="1133" w:type="dxa"/>
            <w:vMerge w:val="restart"/>
            <w:shd w:val="clear" w:color="auto" w:fill="auto"/>
            <w:noWrap/>
            <w:vAlign w:val="center"/>
          </w:tcPr>
          <w:p w14:paraId="12DBAAF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心脏彩超需另外预约时间，（周一到周五下午）</w:t>
            </w:r>
          </w:p>
        </w:tc>
      </w:tr>
      <w:tr w14:paraId="4424E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53E278D7">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03569FB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动脉硬化检测</w:t>
            </w:r>
          </w:p>
        </w:tc>
        <w:tc>
          <w:tcPr>
            <w:tcW w:w="5408" w:type="dxa"/>
            <w:shd w:val="clear" w:color="auto" w:fill="auto"/>
            <w:vAlign w:val="center"/>
          </w:tcPr>
          <w:p w14:paraId="6CA494E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四肢动脉硬化测定</w:t>
            </w:r>
          </w:p>
        </w:tc>
        <w:tc>
          <w:tcPr>
            <w:tcW w:w="1133" w:type="dxa"/>
            <w:vMerge w:val="continue"/>
            <w:shd w:val="clear" w:color="auto" w:fill="auto"/>
            <w:noWrap/>
            <w:vAlign w:val="center"/>
          </w:tcPr>
          <w:p w14:paraId="3D872E8D">
            <w:pPr>
              <w:spacing w:line="360" w:lineRule="auto"/>
              <w:jc w:val="center"/>
              <w:rPr>
                <w:rFonts w:hint="eastAsia" w:ascii="宋体" w:hAnsi="宋体" w:eastAsia="宋体" w:cs="Times New Roman"/>
                <w:sz w:val="24"/>
                <w:szCs w:val="24"/>
              </w:rPr>
            </w:pPr>
          </w:p>
        </w:tc>
      </w:tr>
      <w:tr w14:paraId="533A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633" w:type="dxa"/>
            <w:vMerge w:val="continue"/>
            <w:shd w:val="clear" w:color="auto" w:fill="auto"/>
            <w:noWrap/>
            <w:vAlign w:val="center"/>
          </w:tcPr>
          <w:p w14:paraId="69ACE5CC">
            <w:pPr>
              <w:spacing w:line="360" w:lineRule="auto"/>
              <w:jc w:val="center"/>
              <w:rPr>
                <w:rFonts w:hint="eastAsia" w:ascii="宋体" w:hAnsi="宋体" w:eastAsia="宋体" w:cs="Times New Roman"/>
                <w:sz w:val="24"/>
                <w:szCs w:val="24"/>
              </w:rPr>
            </w:pPr>
          </w:p>
        </w:tc>
        <w:tc>
          <w:tcPr>
            <w:tcW w:w="1762" w:type="dxa"/>
            <w:shd w:val="clear" w:color="auto" w:fill="auto"/>
            <w:vAlign w:val="center"/>
          </w:tcPr>
          <w:p w14:paraId="46CAB81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心脏彩超</w:t>
            </w:r>
          </w:p>
        </w:tc>
        <w:tc>
          <w:tcPr>
            <w:tcW w:w="5408" w:type="dxa"/>
            <w:shd w:val="clear" w:color="auto" w:fill="auto"/>
            <w:vAlign w:val="center"/>
          </w:tcPr>
          <w:p w14:paraId="133FCFE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检查心脏有无器质性病变</w:t>
            </w:r>
          </w:p>
        </w:tc>
        <w:tc>
          <w:tcPr>
            <w:tcW w:w="1133" w:type="dxa"/>
            <w:vMerge w:val="continue"/>
            <w:shd w:val="clear" w:color="auto" w:fill="auto"/>
            <w:noWrap/>
            <w:vAlign w:val="center"/>
          </w:tcPr>
          <w:p w14:paraId="007FCE2E">
            <w:pPr>
              <w:spacing w:line="360" w:lineRule="auto"/>
              <w:jc w:val="center"/>
              <w:rPr>
                <w:rFonts w:hint="eastAsia" w:ascii="宋体" w:hAnsi="宋体" w:eastAsia="宋体" w:cs="Times New Roman"/>
                <w:sz w:val="24"/>
                <w:szCs w:val="24"/>
              </w:rPr>
            </w:pPr>
          </w:p>
        </w:tc>
      </w:tr>
    </w:tbl>
    <w:p w14:paraId="6A4666DF">
      <w:pPr>
        <w:spacing w:line="360" w:lineRule="auto"/>
        <w:jc w:val="center"/>
        <w:rPr>
          <w:rFonts w:hint="eastAsia" w:ascii="宋体" w:hAnsi="宋体" w:eastAsia="宋体" w:cs="Times New Roman"/>
          <w:sz w:val="24"/>
          <w:szCs w:val="24"/>
        </w:rPr>
      </w:pPr>
    </w:p>
    <w:p w14:paraId="0C6E26D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体检套餐（三）</w:t>
      </w:r>
    </w:p>
    <w:tbl>
      <w:tblPr>
        <w:tblStyle w:val="23"/>
        <w:tblW w:w="8799" w:type="dxa"/>
        <w:tblInd w:w="93" w:type="dxa"/>
        <w:tblLayout w:type="fixed"/>
        <w:tblCellMar>
          <w:top w:w="0" w:type="dxa"/>
          <w:left w:w="108" w:type="dxa"/>
          <w:bottom w:w="0" w:type="dxa"/>
          <w:right w:w="108" w:type="dxa"/>
        </w:tblCellMar>
      </w:tblPr>
      <w:tblGrid>
        <w:gridCol w:w="753"/>
        <w:gridCol w:w="1479"/>
        <w:gridCol w:w="5608"/>
        <w:gridCol w:w="959"/>
      </w:tblGrid>
      <w:tr w14:paraId="2397C2DA">
        <w:tblPrEx>
          <w:tblCellMar>
            <w:top w:w="0" w:type="dxa"/>
            <w:left w:w="108" w:type="dxa"/>
            <w:bottom w:w="0" w:type="dxa"/>
            <w:right w:w="108" w:type="dxa"/>
          </w:tblCellMar>
        </w:tblPrEx>
        <w:trPr>
          <w:trHeight w:val="615"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57D62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序号</w:t>
            </w:r>
          </w:p>
        </w:tc>
        <w:tc>
          <w:tcPr>
            <w:tcW w:w="1479" w:type="dxa"/>
            <w:tcBorders>
              <w:top w:val="single" w:color="auto" w:sz="4" w:space="0"/>
              <w:left w:val="nil"/>
              <w:bottom w:val="single" w:color="auto" w:sz="4" w:space="0"/>
              <w:right w:val="single" w:color="auto" w:sz="4" w:space="0"/>
            </w:tcBorders>
            <w:shd w:val="clear" w:color="auto" w:fill="auto"/>
            <w:vAlign w:val="center"/>
          </w:tcPr>
          <w:p w14:paraId="012BDCC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项目</w:t>
            </w:r>
          </w:p>
        </w:tc>
        <w:tc>
          <w:tcPr>
            <w:tcW w:w="5608" w:type="dxa"/>
            <w:tcBorders>
              <w:top w:val="single" w:color="auto" w:sz="4" w:space="0"/>
              <w:left w:val="nil"/>
              <w:bottom w:val="single" w:color="auto" w:sz="4" w:space="0"/>
              <w:right w:val="single" w:color="auto" w:sz="4" w:space="0"/>
            </w:tcBorders>
            <w:shd w:val="clear" w:color="auto" w:fill="auto"/>
            <w:vAlign w:val="center"/>
          </w:tcPr>
          <w:p w14:paraId="6C05017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检查意义</w:t>
            </w:r>
          </w:p>
        </w:tc>
        <w:tc>
          <w:tcPr>
            <w:tcW w:w="959" w:type="dxa"/>
            <w:tcBorders>
              <w:top w:val="single" w:color="auto" w:sz="4" w:space="0"/>
              <w:left w:val="nil"/>
              <w:bottom w:val="single" w:color="auto" w:sz="4" w:space="0"/>
              <w:right w:val="single" w:color="auto" w:sz="4" w:space="0"/>
            </w:tcBorders>
            <w:shd w:val="clear" w:color="auto" w:fill="auto"/>
            <w:noWrap/>
            <w:vAlign w:val="center"/>
          </w:tcPr>
          <w:p w14:paraId="2996D2B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备注</w:t>
            </w:r>
          </w:p>
        </w:tc>
      </w:tr>
      <w:tr w14:paraId="117B0BC9">
        <w:tblPrEx>
          <w:tblCellMar>
            <w:top w:w="0" w:type="dxa"/>
            <w:left w:w="108" w:type="dxa"/>
            <w:bottom w:w="0" w:type="dxa"/>
            <w:right w:w="108" w:type="dxa"/>
          </w:tblCellMar>
        </w:tblPrEx>
        <w:trPr>
          <w:trHeight w:val="49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3094A51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w:t>
            </w:r>
          </w:p>
        </w:tc>
        <w:tc>
          <w:tcPr>
            <w:tcW w:w="1479" w:type="dxa"/>
            <w:tcBorders>
              <w:top w:val="nil"/>
              <w:left w:val="nil"/>
              <w:bottom w:val="single" w:color="auto" w:sz="4" w:space="0"/>
              <w:right w:val="single" w:color="auto" w:sz="4" w:space="0"/>
            </w:tcBorders>
            <w:shd w:val="clear" w:color="auto" w:fill="auto"/>
            <w:vAlign w:val="center"/>
          </w:tcPr>
          <w:p w14:paraId="571942B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一般检查</w:t>
            </w:r>
          </w:p>
        </w:tc>
        <w:tc>
          <w:tcPr>
            <w:tcW w:w="5608" w:type="dxa"/>
            <w:tcBorders>
              <w:top w:val="nil"/>
              <w:left w:val="nil"/>
              <w:bottom w:val="single" w:color="auto" w:sz="4" w:space="0"/>
              <w:right w:val="single" w:color="auto" w:sz="4" w:space="0"/>
            </w:tcBorders>
            <w:shd w:val="clear" w:color="auto" w:fill="auto"/>
            <w:vAlign w:val="center"/>
          </w:tcPr>
          <w:p w14:paraId="27A2419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判断是否超重、肥胖、消瘦，有无高血压</w:t>
            </w:r>
          </w:p>
        </w:tc>
        <w:tc>
          <w:tcPr>
            <w:tcW w:w="959" w:type="dxa"/>
            <w:tcBorders>
              <w:top w:val="nil"/>
              <w:left w:val="nil"/>
              <w:bottom w:val="single" w:color="auto" w:sz="4" w:space="0"/>
              <w:right w:val="single" w:color="auto" w:sz="4" w:space="0"/>
            </w:tcBorders>
            <w:shd w:val="clear" w:color="auto" w:fill="auto"/>
            <w:noWrap/>
            <w:vAlign w:val="center"/>
          </w:tcPr>
          <w:p w14:paraId="173DC22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2F927C90">
        <w:tblPrEx>
          <w:tblCellMar>
            <w:top w:w="0" w:type="dxa"/>
            <w:left w:w="108" w:type="dxa"/>
            <w:bottom w:w="0" w:type="dxa"/>
            <w:right w:w="108" w:type="dxa"/>
          </w:tblCellMar>
        </w:tblPrEx>
        <w:trPr>
          <w:trHeight w:val="64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7DAE535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w:t>
            </w:r>
          </w:p>
        </w:tc>
        <w:tc>
          <w:tcPr>
            <w:tcW w:w="1479" w:type="dxa"/>
            <w:tcBorders>
              <w:top w:val="nil"/>
              <w:left w:val="nil"/>
              <w:bottom w:val="single" w:color="auto" w:sz="4" w:space="0"/>
              <w:right w:val="single" w:color="auto" w:sz="4" w:space="0"/>
            </w:tcBorders>
            <w:shd w:val="clear" w:color="auto" w:fill="auto"/>
            <w:vAlign w:val="center"/>
          </w:tcPr>
          <w:p w14:paraId="476012D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肝功8项</w:t>
            </w:r>
          </w:p>
        </w:tc>
        <w:tc>
          <w:tcPr>
            <w:tcW w:w="5608" w:type="dxa"/>
            <w:tcBorders>
              <w:top w:val="nil"/>
              <w:left w:val="nil"/>
              <w:bottom w:val="single" w:color="auto" w:sz="4" w:space="0"/>
              <w:right w:val="single" w:color="auto" w:sz="4" w:space="0"/>
            </w:tcBorders>
            <w:shd w:val="clear" w:color="auto" w:fill="auto"/>
            <w:vAlign w:val="center"/>
          </w:tcPr>
          <w:p w14:paraId="0A868CE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检查肝胆代谢功能有无异常，用于检测肝胆疾病，慢性肝损害、胆道梗阻等疾病</w:t>
            </w:r>
          </w:p>
        </w:tc>
        <w:tc>
          <w:tcPr>
            <w:tcW w:w="959" w:type="dxa"/>
            <w:tcBorders>
              <w:top w:val="nil"/>
              <w:left w:val="nil"/>
              <w:bottom w:val="single" w:color="auto" w:sz="4" w:space="0"/>
              <w:right w:val="single" w:color="auto" w:sz="4" w:space="0"/>
            </w:tcBorders>
            <w:shd w:val="clear" w:color="auto" w:fill="auto"/>
            <w:noWrap/>
            <w:vAlign w:val="center"/>
          </w:tcPr>
          <w:p w14:paraId="1DD9DE7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3CC82DE9">
        <w:tblPrEx>
          <w:tblCellMar>
            <w:top w:w="0" w:type="dxa"/>
            <w:left w:w="108" w:type="dxa"/>
            <w:bottom w:w="0" w:type="dxa"/>
            <w:right w:w="108" w:type="dxa"/>
          </w:tblCellMar>
        </w:tblPrEx>
        <w:trPr>
          <w:trHeight w:val="76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6241818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3</w:t>
            </w:r>
          </w:p>
        </w:tc>
        <w:tc>
          <w:tcPr>
            <w:tcW w:w="1479" w:type="dxa"/>
            <w:tcBorders>
              <w:top w:val="nil"/>
              <w:left w:val="nil"/>
              <w:bottom w:val="single" w:color="auto" w:sz="4" w:space="0"/>
              <w:right w:val="single" w:color="auto" w:sz="4" w:space="0"/>
            </w:tcBorders>
            <w:shd w:val="clear" w:color="auto" w:fill="auto"/>
            <w:vAlign w:val="center"/>
          </w:tcPr>
          <w:p w14:paraId="29AD60B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肾功3项</w:t>
            </w:r>
          </w:p>
        </w:tc>
        <w:tc>
          <w:tcPr>
            <w:tcW w:w="5608" w:type="dxa"/>
            <w:tcBorders>
              <w:top w:val="nil"/>
              <w:left w:val="nil"/>
              <w:bottom w:val="single" w:color="auto" w:sz="4" w:space="0"/>
              <w:right w:val="single" w:color="auto" w:sz="4" w:space="0"/>
            </w:tcBorders>
            <w:shd w:val="clear" w:color="auto" w:fill="auto"/>
            <w:vAlign w:val="center"/>
          </w:tcPr>
          <w:p w14:paraId="226FCBC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检查肾脏的代谢、排泄功能是否正常</w:t>
            </w:r>
          </w:p>
        </w:tc>
        <w:tc>
          <w:tcPr>
            <w:tcW w:w="959" w:type="dxa"/>
            <w:tcBorders>
              <w:top w:val="nil"/>
              <w:left w:val="nil"/>
              <w:bottom w:val="single" w:color="auto" w:sz="4" w:space="0"/>
              <w:right w:val="single" w:color="auto" w:sz="4" w:space="0"/>
            </w:tcBorders>
            <w:shd w:val="clear" w:color="auto" w:fill="auto"/>
            <w:noWrap/>
            <w:vAlign w:val="center"/>
          </w:tcPr>
          <w:p w14:paraId="08ADDCB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1061B85F">
        <w:tblPrEx>
          <w:tblCellMar>
            <w:top w:w="0" w:type="dxa"/>
            <w:left w:w="108" w:type="dxa"/>
            <w:bottom w:w="0" w:type="dxa"/>
            <w:right w:w="108" w:type="dxa"/>
          </w:tblCellMar>
        </w:tblPrEx>
        <w:trPr>
          <w:trHeight w:val="72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7704BCF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w:t>
            </w:r>
          </w:p>
        </w:tc>
        <w:tc>
          <w:tcPr>
            <w:tcW w:w="1479" w:type="dxa"/>
            <w:tcBorders>
              <w:top w:val="nil"/>
              <w:left w:val="nil"/>
              <w:bottom w:val="single" w:color="auto" w:sz="4" w:space="0"/>
              <w:right w:val="single" w:color="auto" w:sz="4" w:space="0"/>
            </w:tcBorders>
            <w:shd w:val="clear" w:color="auto" w:fill="auto"/>
            <w:vAlign w:val="center"/>
          </w:tcPr>
          <w:p w14:paraId="5D28D99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血糖2项</w:t>
            </w:r>
          </w:p>
        </w:tc>
        <w:tc>
          <w:tcPr>
            <w:tcW w:w="5608" w:type="dxa"/>
            <w:tcBorders>
              <w:top w:val="nil"/>
              <w:left w:val="nil"/>
              <w:bottom w:val="single" w:color="auto" w:sz="4" w:space="0"/>
              <w:right w:val="single" w:color="auto" w:sz="4" w:space="0"/>
            </w:tcBorders>
            <w:shd w:val="clear" w:color="auto" w:fill="auto"/>
            <w:vAlign w:val="center"/>
          </w:tcPr>
          <w:p w14:paraId="1BBB098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是糖尿病最基本的检测方法</w:t>
            </w:r>
          </w:p>
        </w:tc>
        <w:tc>
          <w:tcPr>
            <w:tcW w:w="959" w:type="dxa"/>
            <w:tcBorders>
              <w:top w:val="nil"/>
              <w:left w:val="nil"/>
              <w:bottom w:val="single" w:color="auto" w:sz="4" w:space="0"/>
              <w:right w:val="single" w:color="auto" w:sz="4" w:space="0"/>
            </w:tcBorders>
            <w:shd w:val="clear" w:color="auto" w:fill="auto"/>
            <w:noWrap/>
            <w:vAlign w:val="center"/>
          </w:tcPr>
          <w:p w14:paraId="6D331C6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2B9542AA">
        <w:tblPrEx>
          <w:tblCellMar>
            <w:top w:w="0" w:type="dxa"/>
            <w:left w:w="108" w:type="dxa"/>
            <w:bottom w:w="0" w:type="dxa"/>
            <w:right w:w="108" w:type="dxa"/>
          </w:tblCellMar>
        </w:tblPrEx>
        <w:trPr>
          <w:trHeight w:val="49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4A4C548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5</w:t>
            </w:r>
          </w:p>
        </w:tc>
        <w:tc>
          <w:tcPr>
            <w:tcW w:w="1479" w:type="dxa"/>
            <w:tcBorders>
              <w:top w:val="nil"/>
              <w:left w:val="nil"/>
              <w:bottom w:val="single" w:color="auto" w:sz="4" w:space="0"/>
              <w:right w:val="single" w:color="auto" w:sz="4" w:space="0"/>
            </w:tcBorders>
            <w:shd w:val="clear" w:color="auto" w:fill="auto"/>
            <w:vAlign w:val="center"/>
          </w:tcPr>
          <w:p w14:paraId="571118A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血脂6项</w:t>
            </w:r>
          </w:p>
        </w:tc>
        <w:tc>
          <w:tcPr>
            <w:tcW w:w="5608" w:type="dxa"/>
            <w:tcBorders>
              <w:top w:val="nil"/>
              <w:left w:val="nil"/>
              <w:bottom w:val="single" w:color="auto" w:sz="4" w:space="0"/>
              <w:right w:val="single" w:color="auto" w:sz="4" w:space="0"/>
            </w:tcBorders>
            <w:shd w:val="clear" w:color="auto" w:fill="auto"/>
            <w:vAlign w:val="center"/>
          </w:tcPr>
          <w:p w14:paraId="6D3F381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用于血脂代谢紊乱评价、动脉粥样硬化性疾病危险度预测和营养学评价</w:t>
            </w:r>
          </w:p>
        </w:tc>
        <w:tc>
          <w:tcPr>
            <w:tcW w:w="959" w:type="dxa"/>
            <w:tcBorders>
              <w:top w:val="nil"/>
              <w:left w:val="nil"/>
              <w:bottom w:val="single" w:color="auto" w:sz="4" w:space="0"/>
              <w:right w:val="single" w:color="auto" w:sz="4" w:space="0"/>
            </w:tcBorders>
            <w:shd w:val="clear" w:color="auto" w:fill="auto"/>
            <w:noWrap/>
            <w:vAlign w:val="center"/>
          </w:tcPr>
          <w:p w14:paraId="5E7D745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6E76342A">
        <w:tblPrEx>
          <w:tblCellMar>
            <w:top w:w="0" w:type="dxa"/>
            <w:left w:w="108" w:type="dxa"/>
            <w:bottom w:w="0" w:type="dxa"/>
            <w:right w:w="108" w:type="dxa"/>
          </w:tblCellMar>
        </w:tblPrEx>
        <w:trPr>
          <w:trHeight w:val="585"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63C02">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6</w:t>
            </w:r>
          </w:p>
        </w:tc>
        <w:tc>
          <w:tcPr>
            <w:tcW w:w="1479" w:type="dxa"/>
            <w:tcBorders>
              <w:top w:val="single" w:color="auto" w:sz="4" w:space="0"/>
              <w:left w:val="nil"/>
              <w:bottom w:val="single" w:color="auto" w:sz="4" w:space="0"/>
              <w:right w:val="single" w:color="auto" w:sz="4" w:space="0"/>
            </w:tcBorders>
            <w:shd w:val="clear" w:color="auto" w:fill="auto"/>
            <w:vAlign w:val="center"/>
          </w:tcPr>
          <w:p w14:paraId="0CE743C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血常规2</w:t>
            </w:r>
          </w:p>
        </w:tc>
        <w:tc>
          <w:tcPr>
            <w:tcW w:w="5608" w:type="dxa"/>
            <w:tcBorders>
              <w:top w:val="single" w:color="auto" w:sz="4" w:space="0"/>
              <w:left w:val="nil"/>
              <w:bottom w:val="single" w:color="auto" w:sz="4" w:space="0"/>
              <w:right w:val="single" w:color="auto" w:sz="4" w:space="0"/>
            </w:tcBorders>
            <w:shd w:val="clear" w:color="auto" w:fill="auto"/>
            <w:vAlign w:val="center"/>
          </w:tcPr>
          <w:p w14:paraId="6CA2A4C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了解有无感染、贫血、炎症、凝血功能障碍及血液等疾病</w:t>
            </w:r>
          </w:p>
        </w:tc>
        <w:tc>
          <w:tcPr>
            <w:tcW w:w="959" w:type="dxa"/>
            <w:tcBorders>
              <w:top w:val="single" w:color="auto" w:sz="4" w:space="0"/>
              <w:left w:val="nil"/>
              <w:bottom w:val="single" w:color="auto" w:sz="4" w:space="0"/>
              <w:right w:val="single" w:color="auto" w:sz="4" w:space="0"/>
            </w:tcBorders>
            <w:shd w:val="clear" w:color="auto" w:fill="auto"/>
            <w:noWrap/>
            <w:vAlign w:val="center"/>
          </w:tcPr>
          <w:p w14:paraId="6DCD997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78DCF1EF">
        <w:tblPrEx>
          <w:tblCellMar>
            <w:top w:w="0" w:type="dxa"/>
            <w:left w:w="108" w:type="dxa"/>
            <w:bottom w:w="0" w:type="dxa"/>
            <w:right w:w="108" w:type="dxa"/>
          </w:tblCellMar>
        </w:tblPrEx>
        <w:trPr>
          <w:trHeight w:val="61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2B1BF27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7</w:t>
            </w:r>
          </w:p>
        </w:tc>
        <w:tc>
          <w:tcPr>
            <w:tcW w:w="1479" w:type="dxa"/>
            <w:tcBorders>
              <w:top w:val="nil"/>
              <w:left w:val="nil"/>
              <w:bottom w:val="single" w:color="auto" w:sz="4" w:space="0"/>
              <w:right w:val="single" w:color="auto" w:sz="4" w:space="0"/>
            </w:tcBorders>
            <w:shd w:val="clear" w:color="auto" w:fill="auto"/>
            <w:vAlign w:val="center"/>
          </w:tcPr>
          <w:p w14:paraId="5E10B24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尿常规</w:t>
            </w:r>
          </w:p>
        </w:tc>
        <w:tc>
          <w:tcPr>
            <w:tcW w:w="5608" w:type="dxa"/>
            <w:tcBorders>
              <w:top w:val="nil"/>
              <w:left w:val="nil"/>
              <w:bottom w:val="single" w:color="auto" w:sz="4" w:space="0"/>
              <w:right w:val="single" w:color="auto" w:sz="4" w:space="0"/>
            </w:tcBorders>
            <w:shd w:val="clear" w:color="auto" w:fill="auto"/>
            <w:vAlign w:val="center"/>
          </w:tcPr>
          <w:p w14:paraId="24FFE2B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了解有无尿蛋白、尿糖、泌尿系感染等</w:t>
            </w:r>
          </w:p>
        </w:tc>
        <w:tc>
          <w:tcPr>
            <w:tcW w:w="959" w:type="dxa"/>
            <w:tcBorders>
              <w:top w:val="nil"/>
              <w:left w:val="nil"/>
              <w:bottom w:val="single" w:color="auto" w:sz="4" w:space="0"/>
              <w:right w:val="single" w:color="auto" w:sz="4" w:space="0"/>
            </w:tcBorders>
            <w:shd w:val="clear" w:color="auto" w:fill="auto"/>
            <w:noWrap/>
            <w:vAlign w:val="center"/>
          </w:tcPr>
          <w:p w14:paraId="1B231AF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78D6AF2D">
        <w:tblPrEx>
          <w:tblCellMar>
            <w:top w:w="0" w:type="dxa"/>
            <w:left w:w="108" w:type="dxa"/>
            <w:bottom w:w="0" w:type="dxa"/>
            <w:right w:w="108" w:type="dxa"/>
          </w:tblCellMar>
        </w:tblPrEx>
        <w:trPr>
          <w:trHeight w:val="58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4D4ECB6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8</w:t>
            </w:r>
          </w:p>
        </w:tc>
        <w:tc>
          <w:tcPr>
            <w:tcW w:w="1479" w:type="dxa"/>
            <w:tcBorders>
              <w:top w:val="nil"/>
              <w:left w:val="nil"/>
              <w:bottom w:val="single" w:color="auto" w:sz="4" w:space="0"/>
              <w:right w:val="single" w:color="auto" w:sz="4" w:space="0"/>
            </w:tcBorders>
            <w:shd w:val="clear" w:color="auto" w:fill="auto"/>
            <w:vAlign w:val="center"/>
          </w:tcPr>
          <w:p w14:paraId="538D10E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甲胎蛋白（AFP）</w:t>
            </w:r>
          </w:p>
        </w:tc>
        <w:tc>
          <w:tcPr>
            <w:tcW w:w="5608" w:type="dxa"/>
            <w:tcBorders>
              <w:top w:val="nil"/>
              <w:left w:val="nil"/>
              <w:bottom w:val="single" w:color="auto" w:sz="4" w:space="0"/>
              <w:right w:val="single" w:color="auto" w:sz="4" w:space="0"/>
            </w:tcBorders>
            <w:shd w:val="clear" w:color="auto" w:fill="auto"/>
            <w:vAlign w:val="center"/>
          </w:tcPr>
          <w:p w14:paraId="32B2020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主要用于肝癌早期筛查</w:t>
            </w:r>
          </w:p>
        </w:tc>
        <w:tc>
          <w:tcPr>
            <w:tcW w:w="959" w:type="dxa"/>
            <w:tcBorders>
              <w:top w:val="nil"/>
              <w:left w:val="nil"/>
              <w:bottom w:val="single" w:color="auto" w:sz="4" w:space="0"/>
              <w:right w:val="single" w:color="auto" w:sz="4" w:space="0"/>
            </w:tcBorders>
            <w:shd w:val="clear" w:color="auto" w:fill="auto"/>
            <w:noWrap/>
            <w:vAlign w:val="center"/>
          </w:tcPr>
          <w:p w14:paraId="162DE8C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4E955C67">
        <w:tblPrEx>
          <w:tblCellMar>
            <w:top w:w="0" w:type="dxa"/>
            <w:left w:w="108" w:type="dxa"/>
            <w:bottom w:w="0" w:type="dxa"/>
            <w:right w:w="108" w:type="dxa"/>
          </w:tblCellMar>
        </w:tblPrEx>
        <w:trPr>
          <w:trHeight w:val="67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4ADF775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9</w:t>
            </w:r>
          </w:p>
        </w:tc>
        <w:tc>
          <w:tcPr>
            <w:tcW w:w="1479" w:type="dxa"/>
            <w:tcBorders>
              <w:top w:val="nil"/>
              <w:left w:val="nil"/>
              <w:bottom w:val="single" w:color="auto" w:sz="4" w:space="0"/>
              <w:right w:val="single" w:color="auto" w:sz="4" w:space="0"/>
            </w:tcBorders>
            <w:shd w:val="clear" w:color="auto" w:fill="auto"/>
            <w:vAlign w:val="center"/>
          </w:tcPr>
          <w:p w14:paraId="0EDF360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癌胚抗原（CEA）</w:t>
            </w:r>
          </w:p>
        </w:tc>
        <w:tc>
          <w:tcPr>
            <w:tcW w:w="5608" w:type="dxa"/>
            <w:tcBorders>
              <w:top w:val="nil"/>
              <w:left w:val="nil"/>
              <w:bottom w:val="single" w:color="auto" w:sz="4" w:space="0"/>
              <w:right w:val="single" w:color="auto" w:sz="4" w:space="0"/>
            </w:tcBorders>
            <w:shd w:val="clear" w:color="auto" w:fill="auto"/>
            <w:vAlign w:val="center"/>
          </w:tcPr>
          <w:p w14:paraId="506F6FC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主要用于消化道肿瘤早期筛查</w:t>
            </w:r>
          </w:p>
        </w:tc>
        <w:tc>
          <w:tcPr>
            <w:tcW w:w="959" w:type="dxa"/>
            <w:tcBorders>
              <w:top w:val="nil"/>
              <w:left w:val="nil"/>
              <w:bottom w:val="single" w:color="auto" w:sz="4" w:space="0"/>
              <w:right w:val="single" w:color="auto" w:sz="4" w:space="0"/>
            </w:tcBorders>
            <w:shd w:val="clear" w:color="auto" w:fill="auto"/>
            <w:noWrap/>
            <w:vAlign w:val="center"/>
          </w:tcPr>
          <w:p w14:paraId="06182BE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3AC78482">
        <w:tblPrEx>
          <w:tblCellMar>
            <w:top w:w="0" w:type="dxa"/>
            <w:left w:w="108" w:type="dxa"/>
            <w:bottom w:w="0" w:type="dxa"/>
            <w:right w:w="108" w:type="dxa"/>
          </w:tblCellMar>
        </w:tblPrEx>
        <w:trPr>
          <w:trHeight w:val="52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0660A82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10</w:t>
            </w:r>
          </w:p>
        </w:tc>
        <w:tc>
          <w:tcPr>
            <w:tcW w:w="1479" w:type="dxa"/>
            <w:tcBorders>
              <w:top w:val="nil"/>
              <w:left w:val="nil"/>
              <w:bottom w:val="single" w:color="auto" w:sz="4" w:space="0"/>
              <w:right w:val="single" w:color="auto" w:sz="4" w:space="0"/>
            </w:tcBorders>
            <w:shd w:val="clear" w:color="auto" w:fill="auto"/>
            <w:vAlign w:val="center"/>
          </w:tcPr>
          <w:p w14:paraId="5E9B0C0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12导联心电图</w:t>
            </w:r>
          </w:p>
        </w:tc>
        <w:tc>
          <w:tcPr>
            <w:tcW w:w="5608" w:type="dxa"/>
            <w:tcBorders>
              <w:top w:val="nil"/>
              <w:left w:val="nil"/>
              <w:bottom w:val="single" w:color="auto" w:sz="4" w:space="0"/>
              <w:right w:val="single" w:color="auto" w:sz="4" w:space="0"/>
            </w:tcBorders>
            <w:shd w:val="clear" w:color="auto" w:fill="auto"/>
            <w:vAlign w:val="center"/>
          </w:tcPr>
          <w:p w14:paraId="2F4AE78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检查有无心律失常、心肌病变等</w:t>
            </w:r>
          </w:p>
        </w:tc>
        <w:tc>
          <w:tcPr>
            <w:tcW w:w="959" w:type="dxa"/>
            <w:tcBorders>
              <w:top w:val="nil"/>
              <w:left w:val="nil"/>
              <w:bottom w:val="single" w:color="auto" w:sz="4" w:space="0"/>
              <w:right w:val="single" w:color="auto" w:sz="4" w:space="0"/>
            </w:tcBorders>
            <w:shd w:val="clear" w:color="auto" w:fill="auto"/>
            <w:noWrap/>
            <w:vAlign w:val="center"/>
          </w:tcPr>
          <w:p w14:paraId="1E80976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22E0FCB3">
        <w:tblPrEx>
          <w:tblCellMar>
            <w:top w:w="0" w:type="dxa"/>
            <w:left w:w="108" w:type="dxa"/>
            <w:bottom w:w="0" w:type="dxa"/>
            <w:right w:w="108" w:type="dxa"/>
          </w:tblCellMar>
        </w:tblPrEx>
        <w:trPr>
          <w:trHeight w:val="51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0C95C26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11</w:t>
            </w:r>
          </w:p>
        </w:tc>
        <w:tc>
          <w:tcPr>
            <w:tcW w:w="1479" w:type="dxa"/>
            <w:tcBorders>
              <w:top w:val="nil"/>
              <w:left w:val="nil"/>
              <w:bottom w:val="single" w:color="auto" w:sz="4" w:space="0"/>
              <w:right w:val="single" w:color="auto" w:sz="4" w:space="0"/>
            </w:tcBorders>
            <w:shd w:val="clear" w:color="auto" w:fill="auto"/>
            <w:vAlign w:val="center"/>
          </w:tcPr>
          <w:p w14:paraId="2FDB636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低剂量胸部螺旋CT</w:t>
            </w:r>
          </w:p>
        </w:tc>
        <w:tc>
          <w:tcPr>
            <w:tcW w:w="5608" w:type="dxa"/>
            <w:tcBorders>
              <w:top w:val="nil"/>
              <w:left w:val="nil"/>
              <w:bottom w:val="single" w:color="auto" w:sz="4" w:space="0"/>
              <w:right w:val="single" w:color="auto" w:sz="4" w:space="0"/>
            </w:tcBorders>
            <w:shd w:val="clear" w:color="auto" w:fill="auto"/>
            <w:vAlign w:val="center"/>
          </w:tcPr>
          <w:p w14:paraId="2300A94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对直径小于1厘米的小肺癌，低剂量螺旋CT的检出阳性率较高</w:t>
            </w:r>
          </w:p>
        </w:tc>
        <w:tc>
          <w:tcPr>
            <w:tcW w:w="959" w:type="dxa"/>
            <w:tcBorders>
              <w:top w:val="nil"/>
              <w:left w:val="nil"/>
              <w:bottom w:val="single" w:color="auto" w:sz="4" w:space="0"/>
              <w:right w:val="single" w:color="auto" w:sz="4" w:space="0"/>
            </w:tcBorders>
            <w:shd w:val="clear" w:color="auto" w:fill="auto"/>
            <w:noWrap/>
            <w:vAlign w:val="center"/>
          </w:tcPr>
          <w:p w14:paraId="32E1AE0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20D8F008">
        <w:tblPrEx>
          <w:tblCellMar>
            <w:top w:w="0" w:type="dxa"/>
            <w:left w:w="108" w:type="dxa"/>
            <w:bottom w:w="0" w:type="dxa"/>
            <w:right w:w="108" w:type="dxa"/>
          </w:tblCellMar>
        </w:tblPrEx>
        <w:trPr>
          <w:trHeight w:val="570"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65F59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12</w:t>
            </w:r>
          </w:p>
        </w:tc>
        <w:tc>
          <w:tcPr>
            <w:tcW w:w="1479" w:type="dxa"/>
            <w:tcBorders>
              <w:top w:val="single" w:color="auto" w:sz="4" w:space="0"/>
              <w:left w:val="nil"/>
              <w:bottom w:val="single" w:color="auto" w:sz="4" w:space="0"/>
              <w:right w:val="single" w:color="auto" w:sz="4" w:space="0"/>
            </w:tcBorders>
            <w:shd w:val="clear" w:color="auto" w:fill="auto"/>
            <w:vAlign w:val="center"/>
          </w:tcPr>
          <w:p w14:paraId="22F3B0C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腹部彩超全套</w:t>
            </w:r>
          </w:p>
        </w:tc>
        <w:tc>
          <w:tcPr>
            <w:tcW w:w="5608" w:type="dxa"/>
            <w:tcBorders>
              <w:top w:val="single" w:color="auto" w:sz="4" w:space="0"/>
              <w:left w:val="nil"/>
              <w:bottom w:val="single" w:color="auto" w:sz="4" w:space="0"/>
              <w:right w:val="single" w:color="auto" w:sz="4" w:space="0"/>
            </w:tcBorders>
            <w:shd w:val="clear" w:color="auto" w:fill="auto"/>
            <w:vAlign w:val="center"/>
          </w:tcPr>
          <w:p w14:paraId="5D854FD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检查有无占位性病变、脂肪肝、肝胆结石等疾病</w:t>
            </w:r>
          </w:p>
        </w:tc>
        <w:tc>
          <w:tcPr>
            <w:tcW w:w="959" w:type="dxa"/>
            <w:tcBorders>
              <w:top w:val="single" w:color="auto" w:sz="4" w:space="0"/>
              <w:left w:val="nil"/>
              <w:bottom w:val="single" w:color="auto" w:sz="4" w:space="0"/>
              <w:right w:val="single" w:color="auto" w:sz="4" w:space="0"/>
            </w:tcBorders>
            <w:shd w:val="clear" w:color="auto" w:fill="auto"/>
            <w:noWrap/>
            <w:vAlign w:val="center"/>
          </w:tcPr>
          <w:p w14:paraId="2C226BB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3D155005">
        <w:tblPrEx>
          <w:tblCellMar>
            <w:top w:w="0" w:type="dxa"/>
            <w:left w:w="108" w:type="dxa"/>
            <w:bottom w:w="0" w:type="dxa"/>
            <w:right w:w="108" w:type="dxa"/>
          </w:tblCellMar>
        </w:tblPrEx>
        <w:trPr>
          <w:trHeight w:val="510" w:hRule="atLeast"/>
        </w:trPr>
        <w:tc>
          <w:tcPr>
            <w:tcW w:w="7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9B1FD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13</w:t>
            </w:r>
          </w:p>
        </w:tc>
        <w:tc>
          <w:tcPr>
            <w:tcW w:w="1479" w:type="dxa"/>
            <w:tcBorders>
              <w:top w:val="single" w:color="auto" w:sz="4" w:space="0"/>
              <w:left w:val="nil"/>
              <w:bottom w:val="single" w:color="auto" w:sz="4" w:space="0"/>
              <w:right w:val="single" w:color="auto" w:sz="4" w:space="0"/>
            </w:tcBorders>
            <w:shd w:val="clear" w:color="auto" w:fill="auto"/>
            <w:vAlign w:val="center"/>
          </w:tcPr>
          <w:p w14:paraId="0C26F18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甲状腺彩超</w:t>
            </w:r>
          </w:p>
        </w:tc>
        <w:tc>
          <w:tcPr>
            <w:tcW w:w="5608" w:type="dxa"/>
            <w:tcBorders>
              <w:top w:val="single" w:color="auto" w:sz="4" w:space="0"/>
              <w:left w:val="nil"/>
              <w:bottom w:val="single" w:color="auto" w:sz="4" w:space="0"/>
              <w:right w:val="single" w:color="auto" w:sz="4" w:space="0"/>
            </w:tcBorders>
            <w:shd w:val="clear" w:color="auto" w:fill="auto"/>
            <w:vAlign w:val="center"/>
          </w:tcPr>
          <w:p w14:paraId="258FAF5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了解甲状腺是否有结节、肿瘤等情况</w:t>
            </w:r>
          </w:p>
        </w:tc>
        <w:tc>
          <w:tcPr>
            <w:tcW w:w="959" w:type="dxa"/>
            <w:tcBorders>
              <w:top w:val="single" w:color="auto" w:sz="4" w:space="0"/>
              <w:left w:val="nil"/>
              <w:bottom w:val="single" w:color="auto" w:sz="4" w:space="0"/>
              <w:right w:val="single" w:color="auto" w:sz="4" w:space="0"/>
            </w:tcBorders>
            <w:shd w:val="clear" w:color="auto" w:fill="auto"/>
            <w:noWrap/>
            <w:vAlign w:val="center"/>
          </w:tcPr>
          <w:p w14:paraId="3B98B62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w:t>
            </w:r>
          </w:p>
        </w:tc>
      </w:tr>
      <w:tr w14:paraId="3A31093F">
        <w:tblPrEx>
          <w:tblCellMar>
            <w:top w:w="0" w:type="dxa"/>
            <w:left w:w="108" w:type="dxa"/>
            <w:bottom w:w="0" w:type="dxa"/>
            <w:right w:w="108" w:type="dxa"/>
          </w:tblCellMar>
        </w:tblPrEx>
        <w:trPr>
          <w:trHeight w:val="39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7ACAE35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w:t>
            </w:r>
          </w:p>
        </w:tc>
        <w:tc>
          <w:tcPr>
            <w:tcW w:w="1479" w:type="dxa"/>
            <w:tcBorders>
              <w:top w:val="nil"/>
              <w:left w:val="nil"/>
              <w:bottom w:val="single" w:color="auto" w:sz="4" w:space="0"/>
              <w:right w:val="single" w:color="auto" w:sz="4" w:space="0"/>
            </w:tcBorders>
            <w:shd w:val="clear" w:color="auto" w:fill="auto"/>
            <w:vAlign w:val="center"/>
          </w:tcPr>
          <w:p w14:paraId="3BA9CF8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无痛胃镜</w:t>
            </w:r>
          </w:p>
        </w:tc>
        <w:tc>
          <w:tcPr>
            <w:tcW w:w="5608" w:type="dxa"/>
            <w:tcBorders>
              <w:top w:val="nil"/>
              <w:left w:val="nil"/>
              <w:bottom w:val="single" w:color="auto" w:sz="4" w:space="0"/>
              <w:right w:val="single" w:color="auto" w:sz="4" w:space="0"/>
            </w:tcBorders>
            <w:shd w:val="clear" w:color="auto" w:fill="auto"/>
            <w:noWrap/>
            <w:vAlign w:val="center"/>
          </w:tcPr>
          <w:p w14:paraId="1B572E8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食道、胃部炎症、息肉及其他病变</w:t>
            </w:r>
          </w:p>
        </w:tc>
        <w:tc>
          <w:tcPr>
            <w:tcW w:w="959" w:type="dxa"/>
            <w:vMerge w:val="restart"/>
            <w:tcBorders>
              <w:top w:val="nil"/>
              <w:left w:val="single" w:color="auto" w:sz="4" w:space="0"/>
              <w:bottom w:val="single" w:color="000000" w:sz="4" w:space="0"/>
              <w:right w:val="single" w:color="auto" w:sz="4" w:space="0"/>
            </w:tcBorders>
            <w:shd w:val="clear" w:color="auto" w:fill="auto"/>
            <w:vAlign w:val="center"/>
          </w:tcPr>
          <w:p w14:paraId="7796BA4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14至19项</w:t>
            </w:r>
          </w:p>
          <w:p w14:paraId="750FB14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六选二</w:t>
            </w:r>
          </w:p>
        </w:tc>
      </w:tr>
      <w:tr w14:paraId="4D519BD9">
        <w:tblPrEx>
          <w:tblCellMar>
            <w:top w:w="0" w:type="dxa"/>
            <w:left w:w="108" w:type="dxa"/>
            <w:bottom w:w="0" w:type="dxa"/>
            <w:right w:w="108" w:type="dxa"/>
          </w:tblCellMar>
        </w:tblPrEx>
        <w:trPr>
          <w:trHeight w:val="55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1A3D7BC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15</w:t>
            </w:r>
          </w:p>
        </w:tc>
        <w:tc>
          <w:tcPr>
            <w:tcW w:w="1479" w:type="dxa"/>
            <w:tcBorders>
              <w:top w:val="nil"/>
              <w:left w:val="nil"/>
              <w:bottom w:val="single" w:color="auto" w:sz="4" w:space="0"/>
              <w:right w:val="single" w:color="auto" w:sz="4" w:space="0"/>
            </w:tcBorders>
            <w:shd w:val="clear" w:color="auto" w:fill="auto"/>
            <w:vAlign w:val="center"/>
          </w:tcPr>
          <w:p w14:paraId="6FC5C8E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无痛肠镜</w:t>
            </w:r>
          </w:p>
        </w:tc>
        <w:tc>
          <w:tcPr>
            <w:tcW w:w="5608" w:type="dxa"/>
            <w:tcBorders>
              <w:top w:val="nil"/>
              <w:left w:val="nil"/>
              <w:bottom w:val="single" w:color="auto" w:sz="4" w:space="0"/>
              <w:right w:val="single" w:color="auto" w:sz="4" w:space="0"/>
            </w:tcBorders>
            <w:shd w:val="clear" w:color="auto" w:fill="auto"/>
            <w:noWrap/>
            <w:vAlign w:val="center"/>
          </w:tcPr>
          <w:p w14:paraId="171F2BD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肠道炎症、溃疡、息肉及其他病变</w:t>
            </w:r>
          </w:p>
        </w:tc>
        <w:tc>
          <w:tcPr>
            <w:tcW w:w="959" w:type="dxa"/>
            <w:vMerge w:val="continue"/>
            <w:tcBorders>
              <w:top w:val="nil"/>
              <w:left w:val="single" w:color="auto" w:sz="4" w:space="0"/>
              <w:bottom w:val="single" w:color="000000" w:sz="4" w:space="0"/>
              <w:right w:val="single" w:color="auto" w:sz="4" w:space="0"/>
            </w:tcBorders>
            <w:vAlign w:val="center"/>
          </w:tcPr>
          <w:p w14:paraId="68608006">
            <w:pPr>
              <w:spacing w:line="360" w:lineRule="auto"/>
              <w:jc w:val="center"/>
              <w:rPr>
                <w:rFonts w:hint="eastAsia" w:ascii="宋体" w:hAnsi="宋体" w:eastAsia="宋体" w:cs="Times New Roman"/>
                <w:sz w:val="24"/>
                <w:szCs w:val="24"/>
              </w:rPr>
            </w:pPr>
          </w:p>
        </w:tc>
      </w:tr>
      <w:tr w14:paraId="1BE027CE">
        <w:tblPrEx>
          <w:tblCellMar>
            <w:top w:w="0" w:type="dxa"/>
            <w:left w:w="108" w:type="dxa"/>
            <w:bottom w:w="0" w:type="dxa"/>
            <w:right w:w="108" w:type="dxa"/>
          </w:tblCellMar>
        </w:tblPrEx>
        <w:trPr>
          <w:trHeight w:val="37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43F5DDC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16</w:t>
            </w:r>
          </w:p>
        </w:tc>
        <w:tc>
          <w:tcPr>
            <w:tcW w:w="1479" w:type="dxa"/>
            <w:tcBorders>
              <w:top w:val="nil"/>
              <w:left w:val="nil"/>
              <w:bottom w:val="single" w:color="auto" w:sz="4" w:space="0"/>
              <w:right w:val="single" w:color="auto" w:sz="4" w:space="0"/>
            </w:tcBorders>
            <w:shd w:val="clear" w:color="auto" w:fill="auto"/>
            <w:vAlign w:val="center"/>
          </w:tcPr>
          <w:p w14:paraId="081A6A3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头颅核磁共振</w:t>
            </w:r>
          </w:p>
        </w:tc>
        <w:tc>
          <w:tcPr>
            <w:tcW w:w="5608" w:type="dxa"/>
            <w:tcBorders>
              <w:top w:val="nil"/>
              <w:left w:val="nil"/>
              <w:bottom w:val="single" w:color="auto" w:sz="4" w:space="0"/>
              <w:right w:val="single" w:color="auto" w:sz="4" w:space="0"/>
            </w:tcBorders>
            <w:shd w:val="clear" w:color="auto" w:fill="auto"/>
            <w:vAlign w:val="center"/>
          </w:tcPr>
          <w:p w14:paraId="6064EFA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筛查各种神经系统疾病最常用的检查方法</w:t>
            </w:r>
          </w:p>
        </w:tc>
        <w:tc>
          <w:tcPr>
            <w:tcW w:w="959" w:type="dxa"/>
            <w:vMerge w:val="continue"/>
            <w:tcBorders>
              <w:top w:val="nil"/>
              <w:left w:val="single" w:color="auto" w:sz="4" w:space="0"/>
              <w:bottom w:val="single" w:color="000000" w:sz="4" w:space="0"/>
              <w:right w:val="single" w:color="auto" w:sz="4" w:space="0"/>
            </w:tcBorders>
            <w:vAlign w:val="center"/>
          </w:tcPr>
          <w:p w14:paraId="03ED9618">
            <w:pPr>
              <w:spacing w:line="360" w:lineRule="auto"/>
              <w:jc w:val="center"/>
              <w:rPr>
                <w:rFonts w:hint="eastAsia" w:ascii="宋体" w:hAnsi="宋体" w:eastAsia="宋体" w:cs="Times New Roman"/>
                <w:sz w:val="24"/>
                <w:szCs w:val="24"/>
              </w:rPr>
            </w:pPr>
          </w:p>
        </w:tc>
      </w:tr>
      <w:tr w14:paraId="4B359DA3">
        <w:tblPrEx>
          <w:tblCellMar>
            <w:top w:w="0" w:type="dxa"/>
            <w:left w:w="108" w:type="dxa"/>
            <w:bottom w:w="0" w:type="dxa"/>
            <w:right w:w="108" w:type="dxa"/>
          </w:tblCellMar>
        </w:tblPrEx>
        <w:trPr>
          <w:trHeight w:val="67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2B947C7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17</w:t>
            </w:r>
          </w:p>
        </w:tc>
        <w:tc>
          <w:tcPr>
            <w:tcW w:w="1479" w:type="dxa"/>
            <w:tcBorders>
              <w:top w:val="nil"/>
              <w:left w:val="nil"/>
              <w:bottom w:val="single" w:color="auto" w:sz="4" w:space="0"/>
              <w:right w:val="single" w:color="auto" w:sz="4" w:space="0"/>
            </w:tcBorders>
            <w:shd w:val="clear" w:color="auto" w:fill="auto"/>
            <w:vAlign w:val="center"/>
          </w:tcPr>
          <w:p w14:paraId="7F1EB29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腰椎核磁共振</w:t>
            </w:r>
          </w:p>
        </w:tc>
        <w:tc>
          <w:tcPr>
            <w:tcW w:w="5608" w:type="dxa"/>
            <w:tcBorders>
              <w:top w:val="nil"/>
              <w:left w:val="nil"/>
              <w:bottom w:val="single" w:color="auto" w:sz="4" w:space="0"/>
              <w:right w:val="single" w:color="auto" w:sz="4" w:space="0"/>
            </w:tcBorders>
            <w:shd w:val="clear" w:color="auto" w:fill="auto"/>
            <w:vAlign w:val="center"/>
          </w:tcPr>
          <w:p w14:paraId="6654BBF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清楚地显示椎间盘突出的部位、大小、形态，是腰椎间盘突出诊断中极为重要的依据</w:t>
            </w:r>
          </w:p>
        </w:tc>
        <w:tc>
          <w:tcPr>
            <w:tcW w:w="959" w:type="dxa"/>
            <w:vMerge w:val="continue"/>
            <w:tcBorders>
              <w:top w:val="nil"/>
              <w:left w:val="single" w:color="auto" w:sz="4" w:space="0"/>
              <w:bottom w:val="single" w:color="000000" w:sz="4" w:space="0"/>
              <w:right w:val="single" w:color="auto" w:sz="4" w:space="0"/>
            </w:tcBorders>
            <w:vAlign w:val="center"/>
          </w:tcPr>
          <w:p w14:paraId="08590AFD">
            <w:pPr>
              <w:spacing w:line="360" w:lineRule="auto"/>
              <w:jc w:val="center"/>
              <w:rPr>
                <w:rFonts w:hint="eastAsia" w:ascii="宋体" w:hAnsi="宋体" w:eastAsia="宋体" w:cs="Times New Roman"/>
                <w:sz w:val="24"/>
                <w:szCs w:val="24"/>
              </w:rPr>
            </w:pPr>
          </w:p>
        </w:tc>
      </w:tr>
      <w:tr w14:paraId="1A2AB215">
        <w:tblPrEx>
          <w:tblCellMar>
            <w:top w:w="0" w:type="dxa"/>
            <w:left w:w="108" w:type="dxa"/>
            <w:bottom w:w="0" w:type="dxa"/>
            <w:right w:w="108" w:type="dxa"/>
          </w:tblCellMar>
        </w:tblPrEx>
        <w:trPr>
          <w:trHeight w:val="45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04FCD23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18</w:t>
            </w:r>
          </w:p>
        </w:tc>
        <w:tc>
          <w:tcPr>
            <w:tcW w:w="1479" w:type="dxa"/>
            <w:tcBorders>
              <w:top w:val="nil"/>
              <w:left w:val="nil"/>
              <w:bottom w:val="single" w:color="auto" w:sz="4" w:space="0"/>
              <w:right w:val="single" w:color="auto" w:sz="4" w:space="0"/>
            </w:tcBorders>
            <w:shd w:val="clear" w:color="auto" w:fill="auto"/>
            <w:vAlign w:val="center"/>
          </w:tcPr>
          <w:p w14:paraId="40D7F3E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颈椎核磁共振</w:t>
            </w:r>
          </w:p>
        </w:tc>
        <w:tc>
          <w:tcPr>
            <w:tcW w:w="5608" w:type="dxa"/>
            <w:tcBorders>
              <w:top w:val="nil"/>
              <w:left w:val="nil"/>
              <w:bottom w:val="single" w:color="auto" w:sz="4" w:space="0"/>
              <w:right w:val="single" w:color="auto" w:sz="4" w:space="0"/>
            </w:tcBorders>
            <w:shd w:val="clear" w:color="auto" w:fill="auto"/>
            <w:vAlign w:val="center"/>
          </w:tcPr>
          <w:p w14:paraId="1AC07AE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 xml:space="preserve">确认是否存在明显的骨化、钙化或者颈椎管狭窄 </w:t>
            </w:r>
          </w:p>
        </w:tc>
        <w:tc>
          <w:tcPr>
            <w:tcW w:w="959" w:type="dxa"/>
            <w:vMerge w:val="continue"/>
            <w:tcBorders>
              <w:top w:val="nil"/>
              <w:left w:val="single" w:color="auto" w:sz="4" w:space="0"/>
              <w:bottom w:val="single" w:color="000000" w:sz="4" w:space="0"/>
              <w:right w:val="single" w:color="auto" w:sz="4" w:space="0"/>
            </w:tcBorders>
            <w:vAlign w:val="center"/>
          </w:tcPr>
          <w:p w14:paraId="65B529E9">
            <w:pPr>
              <w:spacing w:line="360" w:lineRule="auto"/>
              <w:jc w:val="center"/>
              <w:rPr>
                <w:rFonts w:hint="eastAsia" w:ascii="宋体" w:hAnsi="宋体" w:eastAsia="宋体" w:cs="Times New Roman"/>
                <w:sz w:val="24"/>
                <w:szCs w:val="24"/>
              </w:rPr>
            </w:pPr>
          </w:p>
        </w:tc>
      </w:tr>
      <w:tr w14:paraId="7202C450">
        <w:tblPrEx>
          <w:tblCellMar>
            <w:top w:w="0" w:type="dxa"/>
            <w:left w:w="108" w:type="dxa"/>
            <w:bottom w:w="0" w:type="dxa"/>
            <w:right w:w="108" w:type="dxa"/>
          </w:tblCellMar>
        </w:tblPrEx>
        <w:trPr>
          <w:trHeight w:val="39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2BC9A1FB">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19</w:t>
            </w:r>
          </w:p>
        </w:tc>
        <w:tc>
          <w:tcPr>
            <w:tcW w:w="1479" w:type="dxa"/>
            <w:tcBorders>
              <w:top w:val="nil"/>
              <w:left w:val="nil"/>
              <w:bottom w:val="single" w:color="auto" w:sz="4" w:space="0"/>
              <w:right w:val="single" w:color="auto" w:sz="4" w:space="0"/>
            </w:tcBorders>
            <w:shd w:val="clear" w:color="auto" w:fill="auto"/>
            <w:vAlign w:val="center"/>
          </w:tcPr>
          <w:p w14:paraId="3B774F0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腹部核磁共振</w:t>
            </w:r>
          </w:p>
        </w:tc>
        <w:tc>
          <w:tcPr>
            <w:tcW w:w="5608" w:type="dxa"/>
            <w:tcBorders>
              <w:top w:val="nil"/>
              <w:left w:val="nil"/>
              <w:bottom w:val="single" w:color="auto" w:sz="4" w:space="0"/>
              <w:right w:val="single" w:color="auto" w:sz="4" w:space="0"/>
            </w:tcBorders>
            <w:shd w:val="clear" w:color="auto" w:fill="auto"/>
            <w:vAlign w:val="center"/>
          </w:tcPr>
          <w:p w14:paraId="018D476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检查腹部脏器有无占位等情况</w:t>
            </w:r>
          </w:p>
        </w:tc>
        <w:tc>
          <w:tcPr>
            <w:tcW w:w="959" w:type="dxa"/>
            <w:vMerge w:val="continue"/>
            <w:tcBorders>
              <w:top w:val="nil"/>
              <w:left w:val="single" w:color="auto" w:sz="4" w:space="0"/>
              <w:bottom w:val="single" w:color="000000" w:sz="4" w:space="0"/>
              <w:right w:val="single" w:color="auto" w:sz="4" w:space="0"/>
            </w:tcBorders>
            <w:vAlign w:val="center"/>
          </w:tcPr>
          <w:p w14:paraId="469571F8">
            <w:pPr>
              <w:spacing w:line="360" w:lineRule="auto"/>
              <w:jc w:val="center"/>
              <w:rPr>
                <w:rFonts w:hint="eastAsia" w:ascii="宋体" w:hAnsi="宋体" w:eastAsia="宋体" w:cs="Times New Roman"/>
                <w:sz w:val="24"/>
                <w:szCs w:val="24"/>
              </w:rPr>
            </w:pPr>
          </w:p>
        </w:tc>
      </w:tr>
      <w:tr w14:paraId="608FAAE8">
        <w:tblPrEx>
          <w:tblCellMar>
            <w:top w:w="0" w:type="dxa"/>
            <w:left w:w="108" w:type="dxa"/>
            <w:bottom w:w="0" w:type="dxa"/>
            <w:right w:w="108" w:type="dxa"/>
          </w:tblCellMar>
        </w:tblPrEx>
        <w:trPr>
          <w:trHeight w:val="46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61630D51">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20</w:t>
            </w:r>
          </w:p>
        </w:tc>
        <w:tc>
          <w:tcPr>
            <w:tcW w:w="1479" w:type="dxa"/>
            <w:tcBorders>
              <w:top w:val="nil"/>
              <w:left w:val="nil"/>
              <w:bottom w:val="single" w:color="auto" w:sz="4" w:space="0"/>
              <w:right w:val="single" w:color="auto" w:sz="4" w:space="0"/>
            </w:tcBorders>
            <w:shd w:val="clear" w:color="auto" w:fill="auto"/>
            <w:vAlign w:val="center"/>
          </w:tcPr>
          <w:p w14:paraId="50D59AE4">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PSA</w:t>
            </w:r>
          </w:p>
        </w:tc>
        <w:tc>
          <w:tcPr>
            <w:tcW w:w="5608" w:type="dxa"/>
            <w:tcBorders>
              <w:top w:val="nil"/>
              <w:left w:val="nil"/>
              <w:bottom w:val="single" w:color="auto" w:sz="4" w:space="0"/>
              <w:right w:val="single" w:color="auto" w:sz="4" w:space="0"/>
            </w:tcBorders>
            <w:shd w:val="clear" w:color="auto" w:fill="auto"/>
            <w:vAlign w:val="center"/>
          </w:tcPr>
          <w:p w14:paraId="5DB1B879">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主要用于前列腺癌的筛查</w:t>
            </w:r>
          </w:p>
        </w:tc>
        <w:tc>
          <w:tcPr>
            <w:tcW w:w="959" w:type="dxa"/>
            <w:tcBorders>
              <w:top w:val="nil"/>
              <w:left w:val="nil"/>
              <w:bottom w:val="single" w:color="auto" w:sz="4" w:space="0"/>
              <w:right w:val="single" w:color="auto" w:sz="4" w:space="0"/>
            </w:tcBorders>
            <w:shd w:val="clear" w:color="auto" w:fill="auto"/>
            <w:noWrap/>
            <w:vAlign w:val="center"/>
          </w:tcPr>
          <w:p w14:paraId="5290698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男</w:t>
            </w:r>
          </w:p>
        </w:tc>
      </w:tr>
      <w:tr w14:paraId="2FB17EBB">
        <w:tblPrEx>
          <w:tblCellMar>
            <w:top w:w="0" w:type="dxa"/>
            <w:left w:w="108" w:type="dxa"/>
            <w:bottom w:w="0" w:type="dxa"/>
            <w:right w:w="108" w:type="dxa"/>
          </w:tblCellMar>
        </w:tblPrEx>
        <w:trPr>
          <w:trHeight w:val="69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5E8B93E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21</w:t>
            </w:r>
          </w:p>
        </w:tc>
        <w:tc>
          <w:tcPr>
            <w:tcW w:w="1479" w:type="dxa"/>
            <w:tcBorders>
              <w:top w:val="nil"/>
              <w:left w:val="nil"/>
              <w:bottom w:val="single" w:color="auto" w:sz="4" w:space="0"/>
              <w:right w:val="single" w:color="auto" w:sz="4" w:space="0"/>
            </w:tcBorders>
            <w:shd w:val="clear" w:color="auto" w:fill="auto"/>
            <w:vAlign w:val="center"/>
          </w:tcPr>
          <w:p w14:paraId="3781392C">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CA125</w:t>
            </w:r>
          </w:p>
        </w:tc>
        <w:tc>
          <w:tcPr>
            <w:tcW w:w="5608" w:type="dxa"/>
            <w:tcBorders>
              <w:top w:val="nil"/>
              <w:left w:val="nil"/>
              <w:bottom w:val="single" w:color="auto" w:sz="4" w:space="0"/>
              <w:right w:val="single" w:color="auto" w:sz="4" w:space="0"/>
            </w:tcBorders>
            <w:shd w:val="clear" w:color="auto" w:fill="auto"/>
            <w:vAlign w:val="center"/>
          </w:tcPr>
          <w:p w14:paraId="4EB73503">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主要用于筛查女性卵巢癌</w:t>
            </w:r>
          </w:p>
        </w:tc>
        <w:tc>
          <w:tcPr>
            <w:tcW w:w="959" w:type="dxa"/>
            <w:tcBorders>
              <w:top w:val="nil"/>
              <w:left w:val="nil"/>
              <w:bottom w:val="single" w:color="auto" w:sz="4" w:space="0"/>
              <w:right w:val="single" w:color="auto" w:sz="4" w:space="0"/>
            </w:tcBorders>
            <w:shd w:val="clear" w:color="auto" w:fill="auto"/>
            <w:noWrap/>
            <w:vAlign w:val="center"/>
          </w:tcPr>
          <w:p w14:paraId="20A31C2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女</w:t>
            </w:r>
          </w:p>
        </w:tc>
      </w:tr>
      <w:tr w14:paraId="4AC8E8A5">
        <w:tblPrEx>
          <w:tblCellMar>
            <w:top w:w="0" w:type="dxa"/>
            <w:left w:w="108" w:type="dxa"/>
            <w:bottom w:w="0" w:type="dxa"/>
            <w:right w:w="108" w:type="dxa"/>
          </w:tblCellMar>
        </w:tblPrEx>
        <w:trPr>
          <w:trHeight w:val="45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6F98E9E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22</w:t>
            </w:r>
          </w:p>
        </w:tc>
        <w:tc>
          <w:tcPr>
            <w:tcW w:w="1479" w:type="dxa"/>
            <w:tcBorders>
              <w:top w:val="nil"/>
              <w:left w:val="nil"/>
              <w:bottom w:val="single" w:color="auto" w:sz="4" w:space="0"/>
              <w:right w:val="single" w:color="auto" w:sz="4" w:space="0"/>
            </w:tcBorders>
            <w:shd w:val="clear" w:color="auto" w:fill="auto"/>
            <w:vAlign w:val="center"/>
          </w:tcPr>
          <w:p w14:paraId="30BE74A8">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乳腺彩超</w:t>
            </w:r>
          </w:p>
        </w:tc>
        <w:tc>
          <w:tcPr>
            <w:tcW w:w="5608" w:type="dxa"/>
            <w:tcBorders>
              <w:top w:val="nil"/>
              <w:left w:val="nil"/>
              <w:bottom w:val="single" w:color="auto" w:sz="4" w:space="0"/>
              <w:right w:val="single" w:color="auto" w:sz="4" w:space="0"/>
            </w:tcBorders>
            <w:shd w:val="clear" w:color="auto" w:fill="auto"/>
            <w:vAlign w:val="center"/>
          </w:tcPr>
          <w:p w14:paraId="2FAF138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诊断乳腺增生、肿物、结节、囊肿、腺瘤等</w:t>
            </w:r>
          </w:p>
        </w:tc>
        <w:tc>
          <w:tcPr>
            <w:tcW w:w="959" w:type="dxa"/>
            <w:tcBorders>
              <w:top w:val="nil"/>
              <w:left w:val="nil"/>
              <w:bottom w:val="single" w:color="auto" w:sz="4" w:space="0"/>
              <w:right w:val="single" w:color="auto" w:sz="4" w:space="0"/>
            </w:tcBorders>
            <w:shd w:val="clear" w:color="auto" w:fill="auto"/>
            <w:noWrap/>
            <w:vAlign w:val="center"/>
          </w:tcPr>
          <w:p w14:paraId="45C119D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女</w:t>
            </w:r>
          </w:p>
        </w:tc>
      </w:tr>
      <w:tr w14:paraId="31289628">
        <w:tblPrEx>
          <w:tblCellMar>
            <w:top w:w="0" w:type="dxa"/>
            <w:left w:w="108" w:type="dxa"/>
            <w:bottom w:w="0" w:type="dxa"/>
            <w:right w:w="108" w:type="dxa"/>
          </w:tblCellMar>
        </w:tblPrEx>
        <w:trPr>
          <w:trHeight w:val="660"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358C4B4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23</w:t>
            </w:r>
          </w:p>
        </w:tc>
        <w:tc>
          <w:tcPr>
            <w:tcW w:w="1479" w:type="dxa"/>
            <w:tcBorders>
              <w:top w:val="nil"/>
              <w:left w:val="nil"/>
              <w:bottom w:val="single" w:color="auto" w:sz="4" w:space="0"/>
              <w:right w:val="single" w:color="auto" w:sz="4" w:space="0"/>
            </w:tcBorders>
            <w:shd w:val="clear" w:color="auto" w:fill="auto"/>
            <w:vAlign w:val="center"/>
          </w:tcPr>
          <w:p w14:paraId="488686C5">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妇科检查</w:t>
            </w:r>
          </w:p>
        </w:tc>
        <w:tc>
          <w:tcPr>
            <w:tcW w:w="5608" w:type="dxa"/>
            <w:tcBorders>
              <w:top w:val="nil"/>
              <w:left w:val="nil"/>
              <w:bottom w:val="single" w:color="auto" w:sz="4" w:space="0"/>
              <w:right w:val="single" w:color="auto" w:sz="4" w:space="0"/>
            </w:tcBorders>
            <w:shd w:val="clear" w:color="auto" w:fill="auto"/>
            <w:vAlign w:val="center"/>
          </w:tcPr>
          <w:p w14:paraId="69F1B91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通过内诊、宫颈刮片等检查方法，排除妇科常见的阴道炎、宫颈炎以及妇科肿瘤等疾病</w:t>
            </w:r>
          </w:p>
        </w:tc>
        <w:tc>
          <w:tcPr>
            <w:tcW w:w="959" w:type="dxa"/>
            <w:tcBorders>
              <w:top w:val="nil"/>
              <w:left w:val="nil"/>
              <w:bottom w:val="single" w:color="auto" w:sz="4" w:space="0"/>
              <w:right w:val="single" w:color="auto" w:sz="4" w:space="0"/>
            </w:tcBorders>
            <w:shd w:val="clear" w:color="auto" w:fill="auto"/>
            <w:noWrap/>
            <w:vAlign w:val="center"/>
          </w:tcPr>
          <w:p w14:paraId="321063D0">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女</w:t>
            </w:r>
          </w:p>
        </w:tc>
      </w:tr>
      <w:tr w14:paraId="7F800958">
        <w:tblPrEx>
          <w:tblCellMar>
            <w:top w:w="0" w:type="dxa"/>
            <w:left w:w="108" w:type="dxa"/>
            <w:bottom w:w="0" w:type="dxa"/>
            <w:right w:w="108" w:type="dxa"/>
          </w:tblCellMar>
        </w:tblPrEx>
        <w:trPr>
          <w:trHeight w:val="52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01D1AFAA">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24</w:t>
            </w:r>
          </w:p>
        </w:tc>
        <w:tc>
          <w:tcPr>
            <w:tcW w:w="1479" w:type="dxa"/>
            <w:tcBorders>
              <w:top w:val="nil"/>
              <w:left w:val="nil"/>
              <w:bottom w:val="single" w:color="auto" w:sz="4" w:space="0"/>
              <w:right w:val="single" w:color="auto" w:sz="4" w:space="0"/>
            </w:tcBorders>
            <w:shd w:val="clear" w:color="auto" w:fill="auto"/>
            <w:vAlign w:val="center"/>
          </w:tcPr>
          <w:p w14:paraId="1766DA9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白带检查</w:t>
            </w:r>
          </w:p>
        </w:tc>
        <w:tc>
          <w:tcPr>
            <w:tcW w:w="5608" w:type="dxa"/>
            <w:tcBorders>
              <w:top w:val="nil"/>
              <w:left w:val="nil"/>
              <w:bottom w:val="single" w:color="auto" w:sz="4" w:space="0"/>
              <w:right w:val="single" w:color="auto" w:sz="4" w:space="0"/>
            </w:tcBorders>
            <w:shd w:val="clear" w:color="auto" w:fill="auto"/>
            <w:vAlign w:val="center"/>
          </w:tcPr>
          <w:p w14:paraId="51854A8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阴道炎症的检测</w:t>
            </w:r>
          </w:p>
        </w:tc>
        <w:tc>
          <w:tcPr>
            <w:tcW w:w="959" w:type="dxa"/>
            <w:tcBorders>
              <w:top w:val="nil"/>
              <w:left w:val="nil"/>
              <w:bottom w:val="single" w:color="auto" w:sz="4" w:space="0"/>
              <w:right w:val="single" w:color="auto" w:sz="4" w:space="0"/>
            </w:tcBorders>
            <w:shd w:val="clear" w:color="auto" w:fill="auto"/>
            <w:noWrap/>
            <w:vAlign w:val="center"/>
          </w:tcPr>
          <w:p w14:paraId="1AB04FDE">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女</w:t>
            </w:r>
          </w:p>
        </w:tc>
      </w:tr>
      <w:tr w14:paraId="7BF0E02D">
        <w:tblPrEx>
          <w:tblCellMar>
            <w:top w:w="0" w:type="dxa"/>
            <w:left w:w="108" w:type="dxa"/>
            <w:bottom w:w="0" w:type="dxa"/>
            <w:right w:w="108" w:type="dxa"/>
          </w:tblCellMar>
        </w:tblPrEx>
        <w:trPr>
          <w:trHeight w:val="675" w:hRule="atLeast"/>
        </w:trPr>
        <w:tc>
          <w:tcPr>
            <w:tcW w:w="753" w:type="dxa"/>
            <w:tcBorders>
              <w:top w:val="nil"/>
              <w:left w:val="single" w:color="auto" w:sz="4" w:space="0"/>
              <w:bottom w:val="single" w:color="auto" w:sz="4" w:space="0"/>
              <w:right w:val="single" w:color="auto" w:sz="4" w:space="0"/>
            </w:tcBorders>
            <w:shd w:val="clear" w:color="auto" w:fill="auto"/>
            <w:noWrap/>
            <w:vAlign w:val="center"/>
          </w:tcPr>
          <w:p w14:paraId="1900399F">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25</w:t>
            </w:r>
          </w:p>
        </w:tc>
        <w:tc>
          <w:tcPr>
            <w:tcW w:w="1479" w:type="dxa"/>
            <w:tcBorders>
              <w:top w:val="nil"/>
              <w:left w:val="nil"/>
              <w:bottom w:val="single" w:color="auto" w:sz="4" w:space="0"/>
              <w:right w:val="single" w:color="auto" w:sz="4" w:space="0"/>
            </w:tcBorders>
            <w:shd w:val="clear" w:color="auto" w:fill="auto"/>
            <w:vAlign w:val="center"/>
          </w:tcPr>
          <w:p w14:paraId="4069BBF6">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液基超薄细胞检测</w:t>
            </w:r>
          </w:p>
        </w:tc>
        <w:tc>
          <w:tcPr>
            <w:tcW w:w="5608" w:type="dxa"/>
            <w:tcBorders>
              <w:top w:val="nil"/>
              <w:left w:val="nil"/>
              <w:bottom w:val="single" w:color="auto" w:sz="4" w:space="0"/>
              <w:right w:val="single" w:color="auto" w:sz="4" w:space="0"/>
            </w:tcBorders>
            <w:shd w:val="clear" w:color="auto" w:fill="auto"/>
            <w:vAlign w:val="center"/>
          </w:tcPr>
          <w:p w14:paraId="7A80E8B7">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在筛查宫颈癌和癌前病变较传统巴氏涂片更科学、更准确的一种防癌筛查技术</w:t>
            </w:r>
          </w:p>
        </w:tc>
        <w:tc>
          <w:tcPr>
            <w:tcW w:w="959" w:type="dxa"/>
            <w:tcBorders>
              <w:top w:val="nil"/>
              <w:left w:val="nil"/>
              <w:bottom w:val="single" w:color="auto" w:sz="4" w:space="0"/>
              <w:right w:val="single" w:color="auto" w:sz="4" w:space="0"/>
            </w:tcBorders>
            <w:shd w:val="clear" w:color="auto" w:fill="auto"/>
            <w:noWrap/>
            <w:vAlign w:val="center"/>
          </w:tcPr>
          <w:p w14:paraId="118BBD7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女</w:t>
            </w:r>
          </w:p>
        </w:tc>
      </w:tr>
    </w:tbl>
    <w:p w14:paraId="5CD42C86">
      <w:pPr>
        <w:spacing w:line="360" w:lineRule="auto"/>
        <w:ind w:firstLine="470" w:firstLineChars="196"/>
        <w:rPr>
          <w:rFonts w:hint="eastAsia" w:ascii="宋体" w:hAnsi="宋体" w:eastAsia="宋体"/>
          <w:sz w:val="24"/>
          <w:szCs w:val="24"/>
          <w:rtl w:val="0"/>
          <w:lang w:val="en-US" w:eastAsia="zh-TW"/>
        </w:rPr>
      </w:pPr>
    </w:p>
    <w:p w14:paraId="08901BBC">
      <w:pPr>
        <w:spacing w:line="360" w:lineRule="auto"/>
        <w:rPr>
          <w:rFonts w:hint="eastAsia" w:ascii="宋体" w:hAnsi="宋体" w:eastAsia="宋体"/>
          <w:color w:val="000000" w:themeColor="text1"/>
          <w:sz w:val="24"/>
          <w:szCs w:val="24"/>
          <w:rtl w:val="0"/>
          <w:lang w:val="zh-TW" w:eastAsia="zh-TW"/>
          <w14:textFill>
            <w14:solidFill>
              <w14:schemeClr w14:val="tx1"/>
            </w14:solidFill>
          </w14:textFill>
        </w:rPr>
      </w:pPr>
      <w:r>
        <w:rPr>
          <w:rFonts w:hint="eastAsia" w:ascii="宋体" w:hAnsi="宋体" w:eastAsia="宋体" w:cs="仿宋"/>
          <w:b/>
          <w:bCs/>
          <w:sz w:val="28"/>
          <w:szCs w:val="24"/>
          <w:rtl w:val="0"/>
          <w:lang w:val="zh-CN" w:eastAsia="zh-TW"/>
        </w:rPr>
        <w:t>三、商务要求（实质性要求）</w:t>
      </w:r>
      <w:r>
        <w:rPr>
          <w:rFonts w:hint="eastAsia" w:ascii="宋体" w:hAnsi="宋体" w:eastAsia="宋体"/>
          <w:color w:val="000000" w:themeColor="text1"/>
          <w:sz w:val="24"/>
          <w:szCs w:val="24"/>
          <w:rtl w:val="0"/>
          <w:lang w:val="zh-TW" w:eastAsia="zh-TW"/>
          <w14:textFill>
            <w14:solidFill>
              <w14:schemeClr w14:val="tx1"/>
            </w14:solidFill>
          </w14:textFill>
        </w:rPr>
        <w:t xml:space="preserve"> </w:t>
      </w:r>
    </w:p>
    <w:p w14:paraId="49D2340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资质要求</w:t>
      </w:r>
    </w:p>
    <w:p w14:paraId="132BB31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供应商须具有开展健康体检的资质，具有120急诊急救的资质，</w:t>
      </w:r>
      <w:r>
        <w:rPr>
          <w:rFonts w:hint="eastAsia" w:ascii="宋体" w:hAnsi="宋体" w:eastAsia="宋体" w:cs="Times New Roman"/>
          <w:color w:val="000000" w:themeColor="text1"/>
          <w:sz w:val="24"/>
          <w:szCs w:val="24"/>
          <w14:textFill>
            <w14:solidFill>
              <w14:schemeClr w14:val="tx1"/>
            </w14:solidFill>
          </w14:textFill>
        </w:rPr>
        <w:t>（需提供证明材料并加盖公章）</w:t>
      </w:r>
      <w:r>
        <w:rPr>
          <w:rFonts w:hint="eastAsia" w:ascii="宋体" w:hAnsi="宋体" w:eastAsia="宋体" w:cs="Times New Roman"/>
          <w:sz w:val="24"/>
          <w:szCs w:val="24"/>
        </w:rPr>
        <w:t>。</w:t>
      </w:r>
    </w:p>
    <w:p w14:paraId="6E6D5C9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供应商须在内江市主城</w:t>
      </w:r>
      <w:r>
        <w:rPr>
          <w:rFonts w:hint="eastAsia" w:ascii="宋体" w:hAnsi="宋体" w:eastAsia="宋体" w:cs="Times New Roman"/>
          <w:sz w:val="24"/>
          <w:szCs w:val="24"/>
          <w:lang w:eastAsia="zh-CN"/>
        </w:rPr>
        <w:t>区</w:t>
      </w:r>
      <w:r>
        <w:rPr>
          <w:rFonts w:hint="eastAsia" w:ascii="宋体" w:hAnsi="宋体" w:eastAsia="宋体" w:cs="Times New Roman"/>
          <w:sz w:val="24"/>
          <w:szCs w:val="24"/>
        </w:rPr>
        <w:t>范围内，并且本项目不接受挂靠、合作等非供应商自身医务人员直接服务的方式向采购人提供相关医疗卫生服务。</w:t>
      </w:r>
    </w:p>
    <w:p w14:paraId="2341D6DC">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供应商对本项目拟派的所有人员，均应该是来自供应商自身医疗单位（包括在职时和退休后），不允许有非本单位人员临时加入。</w:t>
      </w:r>
    </w:p>
    <w:p w14:paraId="0CF0BE3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供应商需提供项目的服务方案（包括接送、早餐等</w:t>
      </w:r>
      <w:r>
        <w:rPr>
          <w:rFonts w:hint="eastAsia" w:ascii="宋体" w:hAnsi="宋体" w:eastAsia="宋体" w:cs="Times New Roman"/>
          <w:sz w:val="24"/>
          <w:szCs w:val="24"/>
          <w:lang w:eastAsia="zh-CN"/>
        </w:rPr>
        <w:t>服务，费用包含在本次报价中</w:t>
      </w:r>
      <w:r>
        <w:rPr>
          <w:rFonts w:hint="eastAsia" w:ascii="宋体" w:hAnsi="宋体" w:eastAsia="宋体" w:cs="Times New Roman"/>
          <w:sz w:val="24"/>
          <w:szCs w:val="24"/>
        </w:rPr>
        <w:t>）。</w:t>
      </w:r>
    </w:p>
    <w:p w14:paraId="13845E3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服务时间：合同签订生效后，成交供应商在得到采购人书面通知20个工作日内完成体检服务。</w:t>
      </w:r>
    </w:p>
    <w:p w14:paraId="08397F4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服务地点：成交供应商体检中心本部。</w:t>
      </w:r>
    </w:p>
    <w:p w14:paraId="0D9CD26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参检人数：约72人,以最终体检人数为准。</w:t>
      </w:r>
    </w:p>
    <w:p w14:paraId="5131551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合同价款的计算：本项目报价按每人体检所需费用报单价，其费用应包含完成本项目所需的所有费用，采购人除此外不必再为本项目支付其他费用。</w:t>
      </w:r>
    </w:p>
    <w:p w14:paraId="6CD4C9C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合同价款=实际体检人数×成交供应商套餐单价；据实结算。</w:t>
      </w:r>
    </w:p>
    <w:p w14:paraId="522A83B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验收标准：</w:t>
      </w:r>
    </w:p>
    <w:p w14:paraId="0665A1F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符合国家、行业标准、四川省地方标准规定的验收标准。</w:t>
      </w:r>
    </w:p>
    <w:p w14:paraId="13B8002B">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其他未尽事宜应严格按照《财政部关于进一步加强政府采购需求和履约验收管理的指导意见》(财库〔2016〕205号))的要求进行验收。</w:t>
      </w:r>
    </w:p>
    <w:p w14:paraId="0E4BC95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付款方式：体检完毕后两周内，成交供应商应提交教职工参检人员明细表、体检报告及汇总材料给采购人审核和核算，审核通过后的15日内按实际参检情况据实结算。若成交供应商在规定时限内未向采购人递交上述资料，采购人有权延期付款。</w:t>
      </w:r>
    </w:p>
    <w:p w14:paraId="4A83AFF0">
      <w:pPr>
        <w:spacing w:line="360" w:lineRule="auto"/>
        <w:ind w:firstLine="480" w:firstLineChars="200"/>
        <w:rPr>
          <w:rFonts w:hint="eastAsia" w:ascii="宋体" w:hAnsi="宋体" w:eastAsia="宋体" w:cs="Times New Roman"/>
          <w:sz w:val="24"/>
          <w:szCs w:val="24"/>
          <w:rtl w:val="0"/>
          <w:lang w:val="zh-CN" w:eastAsia="zh-TW"/>
        </w:rPr>
      </w:pPr>
    </w:p>
    <w:p w14:paraId="1619ADF4">
      <w:pPr>
        <w:ind w:firstLine="2168" w:firstLineChars="600"/>
        <w:jc w:val="both"/>
        <w:rPr>
          <w:rFonts w:hint="eastAsia" w:ascii="宋体" w:hAnsi="宋体" w:eastAsia="宋体"/>
          <w:b/>
          <w:bCs/>
          <w:color w:val="000000"/>
          <w:sz w:val="36"/>
          <w:szCs w:val="36"/>
        </w:rPr>
      </w:pPr>
    </w:p>
    <w:p w14:paraId="1DACE692">
      <w:pPr>
        <w:ind w:firstLine="2168" w:firstLineChars="600"/>
        <w:jc w:val="both"/>
        <w:rPr>
          <w:rFonts w:hint="eastAsia" w:ascii="宋体" w:hAnsi="宋体" w:eastAsia="宋体"/>
          <w:b/>
          <w:bCs/>
          <w:color w:val="000000"/>
          <w:sz w:val="36"/>
          <w:szCs w:val="36"/>
        </w:rPr>
      </w:pPr>
    </w:p>
    <w:p w14:paraId="1C51AD3E">
      <w:pPr>
        <w:ind w:firstLine="2168" w:firstLineChars="600"/>
        <w:jc w:val="both"/>
        <w:rPr>
          <w:rFonts w:ascii="宋体" w:hAnsi="宋体" w:eastAsia="宋体"/>
          <w:b/>
          <w:bCs/>
          <w:color w:val="000000"/>
          <w:sz w:val="36"/>
          <w:szCs w:val="36"/>
        </w:rPr>
      </w:pPr>
      <w:r>
        <w:rPr>
          <w:rFonts w:hint="eastAsia" w:ascii="宋体" w:hAnsi="宋体" w:eastAsia="宋体"/>
          <w:b/>
          <w:bCs/>
          <w:color w:val="000000"/>
          <w:sz w:val="36"/>
          <w:szCs w:val="36"/>
        </w:rPr>
        <w:t>第五章 比选评审办法</w:t>
      </w:r>
      <w:bookmarkEnd w:id="26"/>
    </w:p>
    <w:p w14:paraId="6697850C">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14:paraId="67217AE8">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14:paraId="0E6B9912">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14:paraId="1FE09D5D">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14:paraId="1FCAAAD6">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14:paraId="457E020B">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14:paraId="05F13104">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14:paraId="49DF76EF">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14:paraId="20181FB0">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14:paraId="53A7B4E2">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14:paraId="6080088F">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1D33031D">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14:paraId="11F28185">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14:paraId="56CFC0EE">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14:paraId="79B79941">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14:paraId="61992B63">
      <w:pPr>
        <w:spacing w:line="360" w:lineRule="auto"/>
        <w:ind w:firstLine="705" w:firstLineChars="196"/>
        <w:rPr>
          <w:rFonts w:ascii="宋体" w:hAnsi="宋体" w:eastAsia="宋体"/>
          <w:bCs/>
          <w:color w:val="000000"/>
          <w:sz w:val="36"/>
          <w:szCs w:val="36"/>
        </w:rPr>
      </w:pPr>
    </w:p>
    <w:p w14:paraId="45DD52F5">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14:paraId="63AA7931">
      <w:pPr>
        <w:spacing w:line="360" w:lineRule="auto"/>
        <w:ind w:firstLine="470" w:firstLineChars="196"/>
        <w:rPr>
          <w:rFonts w:ascii="宋体" w:hAnsi="宋体" w:eastAsia="宋体"/>
          <w:sz w:val="24"/>
          <w:szCs w:val="24"/>
        </w:rPr>
      </w:pPr>
      <w:r>
        <w:rPr>
          <w:rFonts w:hint="eastAsia" w:ascii="宋体" w:hAnsi="宋体" w:eastAsia="宋体"/>
          <w:sz w:val="24"/>
          <w:szCs w:val="24"/>
        </w:rPr>
        <w:t>本次比选采用综合评分法。</w:t>
      </w:r>
    </w:p>
    <w:p w14:paraId="6189EBC3">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14:paraId="4BE60B8C">
      <w:pPr>
        <w:spacing w:line="360" w:lineRule="auto"/>
        <w:ind w:firstLine="470" w:firstLineChars="196"/>
        <w:rPr>
          <w:rFonts w:hint="eastAsia"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分。各申请人所有评价指标得分之和为该申请人的综合得分。详细评分标准如下表：</w:t>
      </w:r>
    </w:p>
    <w:tbl>
      <w:tblPr>
        <w:tblStyle w:val="23"/>
        <w:tblpPr w:leftFromText="180" w:rightFromText="180" w:vertAnchor="text" w:tblpXSpec="center" w:tblpY="1"/>
        <w:tblOverlap w:val="never"/>
        <w:tblW w:w="9217" w:type="dxa"/>
        <w:tblInd w:w="-251"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53"/>
        <w:gridCol w:w="729"/>
        <w:gridCol w:w="6228"/>
        <w:gridCol w:w="790"/>
      </w:tblGrid>
      <w:tr w14:paraId="262F82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525689DF">
            <w:pPr>
              <w:spacing w:line="360" w:lineRule="auto"/>
              <w:rPr>
                <w:rFonts w:hint="eastAsia" w:ascii="宋体" w:hAnsi="宋体" w:eastAsia="宋体" w:cs="Times New Roman"/>
                <w:sz w:val="24"/>
                <w:szCs w:val="24"/>
                <w:lang w:eastAsia="zh-CN"/>
              </w:rPr>
            </w:pPr>
            <w:r>
              <w:rPr>
                <w:rFonts w:hint="eastAsia" w:ascii="宋体" w:hAnsi="宋体" w:eastAsia="宋体" w:cs="Times New Roman"/>
                <w:sz w:val="24"/>
                <w:szCs w:val="24"/>
                <w:lang w:eastAsia="zh-CN"/>
              </w:rPr>
              <w:t>序号</w:t>
            </w:r>
          </w:p>
        </w:tc>
        <w:tc>
          <w:tcPr>
            <w:tcW w:w="753" w:type="dxa"/>
            <w:tcBorders>
              <w:tl2br w:val="nil"/>
              <w:tr2bl w:val="nil"/>
            </w:tcBorders>
            <w:vAlign w:val="center"/>
          </w:tcPr>
          <w:p w14:paraId="6EA08567">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评分因素</w:t>
            </w:r>
          </w:p>
        </w:tc>
        <w:tc>
          <w:tcPr>
            <w:tcW w:w="729" w:type="dxa"/>
            <w:tcBorders>
              <w:tl2br w:val="nil"/>
              <w:tr2bl w:val="nil"/>
            </w:tcBorders>
            <w:vAlign w:val="center"/>
          </w:tcPr>
          <w:p w14:paraId="10E010A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分值</w:t>
            </w:r>
          </w:p>
        </w:tc>
        <w:tc>
          <w:tcPr>
            <w:tcW w:w="6228" w:type="dxa"/>
            <w:tcBorders>
              <w:tl2br w:val="nil"/>
              <w:tr2bl w:val="nil"/>
            </w:tcBorders>
            <w:vAlign w:val="center"/>
          </w:tcPr>
          <w:p w14:paraId="0D400FCD">
            <w:pPr>
              <w:spacing w:line="360" w:lineRule="auto"/>
              <w:ind w:firstLine="480" w:firstLineChars="200"/>
              <w:jc w:val="center"/>
              <w:rPr>
                <w:rFonts w:hint="eastAsia" w:ascii="宋体" w:hAnsi="宋体" w:eastAsia="宋体" w:cs="Times New Roman"/>
                <w:sz w:val="24"/>
                <w:szCs w:val="24"/>
              </w:rPr>
            </w:pPr>
            <w:r>
              <w:rPr>
                <w:rFonts w:hint="eastAsia" w:ascii="宋体" w:hAnsi="宋体" w:eastAsia="宋体" w:cs="Times New Roman"/>
                <w:sz w:val="24"/>
                <w:szCs w:val="24"/>
              </w:rPr>
              <w:t>评分标准</w:t>
            </w:r>
          </w:p>
        </w:tc>
        <w:tc>
          <w:tcPr>
            <w:tcW w:w="790" w:type="dxa"/>
            <w:tcBorders>
              <w:tl2br w:val="nil"/>
              <w:tr2bl w:val="nil"/>
            </w:tcBorders>
            <w:vAlign w:val="center"/>
          </w:tcPr>
          <w:p w14:paraId="000A0BF8">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说明</w:t>
            </w:r>
          </w:p>
        </w:tc>
      </w:tr>
      <w:tr w14:paraId="3021885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734A2138">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1</w:t>
            </w:r>
          </w:p>
        </w:tc>
        <w:tc>
          <w:tcPr>
            <w:tcW w:w="753" w:type="dxa"/>
            <w:tcBorders>
              <w:tl2br w:val="nil"/>
              <w:tr2bl w:val="nil"/>
            </w:tcBorders>
            <w:vAlign w:val="center"/>
          </w:tcPr>
          <w:p w14:paraId="5E0BF353">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报价</w:t>
            </w:r>
          </w:p>
        </w:tc>
        <w:tc>
          <w:tcPr>
            <w:tcW w:w="729" w:type="dxa"/>
            <w:tcBorders>
              <w:tl2br w:val="nil"/>
              <w:tr2bl w:val="nil"/>
            </w:tcBorders>
            <w:vAlign w:val="center"/>
          </w:tcPr>
          <w:p w14:paraId="444CF0C6">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10分</w:t>
            </w:r>
          </w:p>
        </w:tc>
        <w:tc>
          <w:tcPr>
            <w:tcW w:w="6228" w:type="dxa"/>
            <w:tcBorders>
              <w:tl2br w:val="nil"/>
              <w:tr2bl w:val="nil"/>
            </w:tcBorders>
            <w:vAlign w:val="center"/>
          </w:tcPr>
          <w:p w14:paraId="607AFFD6">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满足</w:t>
            </w:r>
            <w:r>
              <w:rPr>
                <w:rFonts w:hint="eastAsia" w:ascii="宋体" w:hAnsi="宋体" w:eastAsia="宋体" w:cs="Times New Roman"/>
                <w:sz w:val="24"/>
                <w:szCs w:val="24"/>
                <w:lang w:eastAsia="zh-CN"/>
              </w:rPr>
              <w:t>比选</w:t>
            </w:r>
            <w:r>
              <w:rPr>
                <w:rFonts w:hint="eastAsia" w:ascii="宋体" w:hAnsi="宋体" w:eastAsia="宋体" w:cs="Times New Roman"/>
                <w:sz w:val="24"/>
                <w:szCs w:val="24"/>
              </w:rPr>
              <w:t>文件要求且价格最低的报价为评标基准价，其价格分为满分。其他供应商的价格分统一按照下列公式计算：</w:t>
            </w:r>
          </w:p>
          <w:p w14:paraId="1DECD45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1.体检套餐（一）=(评审基准价/报价）×100×4%；</w:t>
            </w:r>
          </w:p>
          <w:p w14:paraId="66E06AE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2.体检套餐（二）=(评审基准价/报价）×100×</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w:t>
            </w:r>
          </w:p>
          <w:p w14:paraId="439FC3AF">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3.体检套餐（三）=(评审基准价/报价）×100×</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w:t>
            </w:r>
          </w:p>
          <w:p w14:paraId="793A2B1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套餐单价报价均不得超过报价要求。</w:t>
            </w:r>
          </w:p>
        </w:tc>
        <w:tc>
          <w:tcPr>
            <w:tcW w:w="790" w:type="dxa"/>
            <w:tcBorders>
              <w:tl2br w:val="nil"/>
              <w:tr2bl w:val="nil"/>
            </w:tcBorders>
            <w:vAlign w:val="center"/>
          </w:tcPr>
          <w:p w14:paraId="5DFAB2B3">
            <w:pPr>
              <w:spacing w:line="360" w:lineRule="auto"/>
              <w:ind w:firstLine="480" w:firstLineChars="200"/>
              <w:rPr>
                <w:rFonts w:hint="eastAsia" w:ascii="宋体" w:hAnsi="宋体" w:eastAsia="宋体" w:cs="Times New Roman"/>
                <w:sz w:val="24"/>
                <w:szCs w:val="24"/>
              </w:rPr>
            </w:pPr>
          </w:p>
        </w:tc>
      </w:tr>
      <w:tr w14:paraId="48AFAA3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426D6F6D">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2</w:t>
            </w:r>
          </w:p>
        </w:tc>
        <w:tc>
          <w:tcPr>
            <w:tcW w:w="753" w:type="dxa"/>
            <w:tcBorders>
              <w:tl2br w:val="nil"/>
              <w:tr2bl w:val="nil"/>
            </w:tcBorders>
            <w:vAlign w:val="center"/>
          </w:tcPr>
          <w:p w14:paraId="708A748E">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服务方案</w:t>
            </w:r>
          </w:p>
        </w:tc>
        <w:tc>
          <w:tcPr>
            <w:tcW w:w="729" w:type="dxa"/>
            <w:tcBorders>
              <w:tl2br w:val="nil"/>
              <w:tr2bl w:val="nil"/>
            </w:tcBorders>
            <w:vAlign w:val="center"/>
          </w:tcPr>
          <w:p w14:paraId="36677AB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6</w:t>
            </w:r>
            <w:r>
              <w:rPr>
                <w:rFonts w:hint="eastAsia" w:ascii="宋体" w:hAnsi="宋体" w:eastAsia="宋体" w:cs="Times New Roman"/>
                <w:sz w:val="24"/>
                <w:szCs w:val="24"/>
              </w:rPr>
              <w:t>分</w:t>
            </w:r>
          </w:p>
        </w:tc>
        <w:tc>
          <w:tcPr>
            <w:tcW w:w="6228" w:type="dxa"/>
            <w:tcBorders>
              <w:tl2br w:val="nil"/>
              <w:tr2bl w:val="nil"/>
            </w:tcBorders>
            <w:vAlign w:val="center"/>
          </w:tcPr>
          <w:p w14:paraId="6D86CEAC">
            <w:pPr>
              <w:numPr>
                <w:ilvl w:val="0"/>
                <w:numId w:val="5"/>
              </w:num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根据供应商针对本项目提供的体检计划（包括总体考虑、具体场次安排、人数安排、体检流程安排）进行评审，每有一项上述细化指标得2分，最多得8分；</w:t>
            </w:r>
            <w:r>
              <w:rPr>
                <w:rFonts w:hint="eastAsia" w:ascii="宋体" w:hAnsi="宋体" w:eastAsia="宋体" w:cs="Times New Roman"/>
                <w:sz w:val="24"/>
                <w:szCs w:val="24"/>
                <w:lang w:eastAsia="zh-CN"/>
              </w:rPr>
              <w:t>每有一处缺陷</w:t>
            </w:r>
            <w:r>
              <w:rPr>
                <w:rFonts w:hint="eastAsia" w:ascii="宋体" w:hAnsi="宋体" w:eastAsia="宋体" w:cs="Times New Roman"/>
                <w:sz w:val="24"/>
                <w:szCs w:val="24"/>
              </w:rPr>
              <w:t>扣2分，扣完为止。</w:t>
            </w:r>
          </w:p>
          <w:p w14:paraId="016F946F">
            <w:pPr>
              <w:numPr>
                <w:ilvl w:val="0"/>
                <w:numId w:val="5"/>
              </w:numPr>
              <w:spacing w:line="360" w:lineRule="auto"/>
              <w:ind w:left="0" w:leftChars="0"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根据供应商针对本项目提供的应急措施方案（包括交通应急、急救应急、突发公共卫生事件应急、传染病防控应急</w:t>
            </w:r>
            <w:r>
              <w:rPr>
                <w:rFonts w:hint="eastAsia" w:ascii="宋体" w:hAnsi="宋体" w:eastAsia="宋体" w:cs="Times New Roman"/>
                <w:sz w:val="24"/>
                <w:szCs w:val="24"/>
                <w:lang w:eastAsia="zh-CN"/>
              </w:rPr>
              <w:t>等</w:t>
            </w:r>
            <w:r>
              <w:rPr>
                <w:rFonts w:hint="eastAsia" w:ascii="宋体" w:hAnsi="宋体" w:eastAsia="宋体" w:cs="Times New Roman"/>
                <w:sz w:val="24"/>
                <w:szCs w:val="24"/>
              </w:rPr>
              <w:t>）进行评审，每有一项上述细化指标得2分，最多得</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分；</w:t>
            </w:r>
            <w:r>
              <w:rPr>
                <w:rFonts w:hint="eastAsia" w:ascii="宋体" w:hAnsi="宋体" w:eastAsia="宋体" w:cs="Times New Roman"/>
                <w:sz w:val="24"/>
                <w:szCs w:val="24"/>
                <w:lang w:eastAsia="zh-CN"/>
              </w:rPr>
              <w:t>每有一处缺陷</w:t>
            </w:r>
            <w:r>
              <w:rPr>
                <w:rFonts w:hint="eastAsia" w:ascii="宋体" w:hAnsi="宋体" w:eastAsia="宋体" w:cs="Times New Roman"/>
                <w:sz w:val="24"/>
                <w:szCs w:val="24"/>
              </w:rPr>
              <w:t>扣2分，扣完为止。</w:t>
            </w:r>
          </w:p>
          <w:p w14:paraId="46BBFD28">
            <w:pPr>
              <w:numPr>
                <w:ilvl w:val="0"/>
                <w:numId w:val="0"/>
              </w:numPr>
              <w:spacing w:line="360" w:lineRule="auto"/>
              <w:rPr>
                <w:rFonts w:hint="eastAsia" w:ascii="宋体" w:hAnsi="宋体" w:eastAsia="宋体" w:cs="Times New Roman"/>
                <w:sz w:val="24"/>
                <w:szCs w:val="24"/>
              </w:rPr>
            </w:pPr>
            <w:r>
              <w:rPr>
                <w:rFonts w:hint="eastAsia" w:ascii="宋体" w:hAnsi="宋体" w:eastAsia="宋体" w:cs="Times New Roman"/>
                <w:sz w:val="24"/>
                <w:szCs w:val="24"/>
                <w:lang w:val="en-US" w:eastAsia="zh-CN"/>
              </w:rPr>
              <w:t>注：缺陷是指存在项目名称错误、地点区域错误、内容与本项目需求无关、方案内容矛盾、仅有框架或标题、适用的标准（方法）错误、明显复制其他项目内容等任意一种情形。</w:t>
            </w:r>
          </w:p>
          <w:p w14:paraId="547B6BEA">
            <w:pPr>
              <w:numPr>
                <w:ilvl w:val="0"/>
                <w:numId w:val="0"/>
              </w:numPr>
              <w:spacing w:line="360" w:lineRule="auto"/>
              <w:ind w:leftChars="200"/>
              <w:rPr>
                <w:rFonts w:hint="eastAsia" w:ascii="宋体" w:hAnsi="宋体" w:eastAsia="宋体" w:cs="Times New Roman"/>
                <w:sz w:val="24"/>
                <w:szCs w:val="24"/>
              </w:rPr>
            </w:pPr>
          </w:p>
        </w:tc>
        <w:tc>
          <w:tcPr>
            <w:tcW w:w="790" w:type="dxa"/>
            <w:tcBorders>
              <w:tl2br w:val="nil"/>
              <w:tr2bl w:val="nil"/>
            </w:tcBorders>
            <w:vAlign w:val="center"/>
          </w:tcPr>
          <w:p w14:paraId="4F85118D">
            <w:pPr>
              <w:spacing w:line="360" w:lineRule="auto"/>
              <w:ind w:firstLine="480" w:firstLineChars="200"/>
              <w:rPr>
                <w:rFonts w:hint="eastAsia" w:ascii="宋体" w:hAnsi="宋体" w:eastAsia="宋体" w:cs="Times New Roman"/>
                <w:sz w:val="24"/>
                <w:szCs w:val="24"/>
              </w:rPr>
            </w:pPr>
          </w:p>
        </w:tc>
      </w:tr>
      <w:tr w14:paraId="627D60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3115394D">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3</w:t>
            </w:r>
          </w:p>
        </w:tc>
        <w:tc>
          <w:tcPr>
            <w:tcW w:w="753" w:type="dxa"/>
            <w:tcBorders>
              <w:tl2br w:val="nil"/>
              <w:tr2bl w:val="nil"/>
            </w:tcBorders>
            <w:vAlign w:val="center"/>
          </w:tcPr>
          <w:p w14:paraId="34E11DFC">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体检服务方案</w:t>
            </w:r>
          </w:p>
        </w:tc>
        <w:tc>
          <w:tcPr>
            <w:tcW w:w="729" w:type="dxa"/>
            <w:tcBorders>
              <w:tl2br w:val="nil"/>
              <w:tr2bl w:val="nil"/>
            </w:tcBorders>
            <w:vAlign w:val="center"/>
          </w:tcPr>
          <w:p w14:paraId="1039D04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分</w:t>
            </w:r>
          </w:p>
        </w:tc>
        <w:tc>
          <w:tcPr>
            <w:tcW w:w="6228" w:type="dxa"/>
            <w:tcBorders>
              <w:tl2br w:val="nil"/>
              <w:tr2bl w:val="nil"/>
            </w:tcBorders>
            <w:vAlign w:val="center"/>
          </w:tcPr>
          <w:p w14:paraId="781B7ACE">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1.供应商提供体检后续服务，包含：体检报告网上查询、病症追踪、健康管理建议、团检分析。完全包含以上几点且满足采购需求的得 4 分。每缺少一项内容或有一项内容错误（内容错误指：方案涉及的内容与本项目要求不一致的，每缺少一项内容扣 1 分，每有一处错误扣 0.5 分，扣完为止。</w:t>
            </w:r>
          </w:p>
          <w:p w14:paraId="4A6F3A64">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rPr>
              <w:t xml:space="preserve">2.体检发现重大疾病需进一步治疗的，能为受检者提供三级甲等医院或以上的就医绿色通道包含：①复检、②门诊挂号、③住院手续办理。完全包含以上几点且满足采购需求的得 </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 xml:space="preserve">分。缺少①复检内容扣 </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 xml:space="preserve"> 分</w:t>
            </w:r>
            <w:r>
              <w:rPr>
                <w:rFonts w:hint="eastAsia" w:ascii="宋体" w:hAnsi="宋体" w:eastAsia="宋体" w:cs="Times New Roman"/>
                <w:sz w:val="24"/>
                <w:szCs w:val="24"/>
                <w:lang w:eastAsia="zh-CN"/>
              </w:rPr>
              <w:t>；缺少</w:t>
            </w:r>
            <w:r>
              <w:rPr>
                <w:rFonts w:hint="eastAsia" w:ascii="宋体" w:hAnsi="宋体" w:eastAsia="宋体" w:cs="Times New Roman"/>
                <w:sz w:val="24"/>
                <w:szCs w:val="24"/>
              </w:rPr>
              <w:t>②门诊挂号</w:t>
            </w:r>
            <w:r>
              <w:rPr>
                <w:rFonts w:hint="eastAsia" w:ascii="宋体" w:hAnsi="宋体" w:eastAsia="宋体" w:cs="Times New Roman"/>
                <w:sz w:val="24"/>
                <w:szCs w:val="24"/>
                <w:lang w:eastAsia="zh-CN"/>
              </w:rPr>
              <w:t>扣</w:t>
            </w:r>
            <w:r>
              <w:rPr>
                <w:rFonts w:hint="eastAsia" w:ascii="宋体" w:hAnsi="宋体" w:eastAsia="宋体" w:cs="Times New Roman"/>
                <w:sz w:val="24"/>
                <w:szCs w:val="24"/>
                <w:lang w:val="en-US" w:eastAsia="zh-CN"/>
              </w:rPr>
              <w:t>1分；缺少</w:t>
            </w:r>
            <w:r>
              <w:rPr>
                <w:rFonts w:hint="eastAsia" w:ascii="宋体" w:hAnsi="宋体" w:eastAsia="宋体" w:cs="Times New Roman"/>
                <w:sz w:val="24"/>
                <w:szCs w:val="24"/>
              </w:rPr>
              <w:t>③住院手续办理</w:t>
            </w:r>
            <w:r>
              <w:rPr>
                <w:rFonts w:hint="eastAsia" w:ascii="宋体" w:hAnsi="宋体" w:eastAsia="宋体" w:cs="Times New Roman"/>
                <w:sz w:val="24"/>
                <w:szCs w:val="24"/>
                <w:lang w:eastAsia="zh-CN"/>
              </w:rPr>
              <w:t>扣</w:t>
            </w:r>
            <w:r>
              <w:rPr>
                <w:rFonts w:hint="eastAsia" w:ascii="宋体" w:hAnsi="宋体" w:eastAsia="宋体" w:cs="Times New Roman"/>
                <w:sz w:val="24"/>
                <w:szCs w:val="24"/>
                <w:lang w:val="en-US" w:eastAsia="zh-CN"/>
              </w:rPr>
              <w:t>2分。</w:t>
            </w:r>
          </w:p>
          <w:p w14:paraId="647B0580">
            <w:pPr>
              <w:spacing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3.供应商承诺为本项目检出的重大疾病教职工提供一次三级甲等医院或以上的专家会诊得 5分，提供一次三级乙等医院的专家会诊得3 分，其他不得分。本项目最多得 5分。</w:t>
            </w:r>
            <w:r>
              <w:rPr>
                <w:rFonts w:hint="eastAsia" w:ascii="宋体" w:hAnsi="宋体" w:eastAsia="宋体" w:cs="Times New Roman"/>
                <w:sz w:val="24"/>
                <w:szCs w:val="24"/>
                <w:lang w:eastAsia="zh-CN"/>
              </w:rPr>
              <w:t>（</w:t>
            </w:r>
            <w:r>
              <w:rPr>
                <w:rFonts w:hint="eastAsia" w:ascii="宋体" w:hAnsi="宋体" w:eastAsia="宋体" w:cs="Times New Roman"/>
                <w:sz w:val="24"/>
                <w:szCs w:val="24"/>
              </w:rPr>
              <w:t>注：提供医院资质证明材料及书面承诺函并加盖供应商鲜章，格式自拟。</w:t>
            </w:r>
            <w:r>
              <w:rPr>
                <w:rFonts w:hint="eastAsia" w:ascii="宋体" w:hAnsi="宋体" w:eastAsia="宋体" w:cs="Times New Roman"/>
                <w:sz w:val="24"/>
                <w:szCs w:val="24"/>
                <w:lang w:eastAsia="zh-CN"/>
              </w:rPr>
              <w:t>）</w:t>
            </w:r>
          </w:p>
        </w:tc>
        <w:tc>
          <w:tcPr>
            <w:tcW w:w="790" w:type="dxa"/>
            <w:tcBorders>
              <w:tl2br w:val="nil"/>
              <w:tr2bl w:val="nil"/>
            </w:tcBorders>
            <w:vAlign w:val="center"/>
          </w:tcPr>
          <w:p w14:paraId="46B51C4C">
            <w:pPr>
              <w:spacing w:line="360" w:lineRule="auto"/>
              <w:ind w:firstLine="480" w:firstLineChars="200"/>
              <w:rPr>
                <w:rFonts w:hint="eastAsia" w:ascii="宋体" w:hAnsi="宋体" w:eastAsia="宋体" w:cs="Times New Roman"/>
                <w:sz w:val="24"/>
                <w:szCs w:val="24"/>
              </w:rPr>
            </w:pPr>
          </w:p>
        </w:tc>
      </w:tr>
      <w:tr w14:paraId="6D265D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0A4926CD">
            <w:pPr>
              <w:spacing w:line="360" w:lineRule="auto"/>
              <w:jc w:val="center"/>
              <w:rPr>
                <w:rFonts w:hint="eastAsia" w:ascii="宋体" w:hAnsi="宋体" w:eastAsia="宋体" w:cs="Times New Roman"/>
                <w:sz w:val="24"/>
                <w:szCs w:val="24"/>
              </w:rPr>
            </w:pPr>
            <w:r>
              <w:rPr>
                <w:rFonts w:hint="eastAsia" w:ascii="宋体" w:hAnsi="宋体" w:eastAsia="宋体" w:cs="Times New Roman"/>
                <w:sz w:val="24"/>
                <w:szCs w:val="24"/>
              </w:rPr>
              <w:t>4</w:t>
            </w:r>
          </w:p>
        </w:tc>
        <w:tc>
          <w:tcPr>
            <w:tcW w:w="753" w:type="dxa"/>
            <w:tcBorders>
              <w:tl2br w:val="nil"/>
              <w:tr2bl w:val="nil"/>
            </w:tcBorders>
            <w:vAlign w:val="center"/>
          </w:tcPr>
          <w:p w14:paraId="17DDB2F8">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接待能力</w:t>
            </w:r>
          </w:p>
        </w:tc>
        <w:tc>
          <w:tcPr>
            <w:tcW w:w="729" w:type="dxa"/>
            <w:tcBorders>
              <w:tl2br w:val="nil"/>
              <w:tr2bl w:val="nil"/>
            </w:tcBorders>
            <w:vAlign w:val="center"/>
          </w:tcPr>
          <w:p w14:paraId="1821AD8D">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6分</w:t>
            </w:r>
          </w:p>
        </w:tc>
        <w:tc>
          <w:tcPr>
            <w:tcW w:w="6228" w:type="dxa"/>
            <w:tcBorders>
              <w:tl2br w:val="nil"/>
              <w:tr2bl w:val="nil"/>
            </w:tcBorders>
            <w:vAlign w:val="center"/>
          </w:tcPr>
          <w:p w14:paraId="170FB670">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针对本项目提供单日接待体检人次300人（含）以上得6分，200（含）-300人得4分，200人以下得2分。</w:t>
            </w:r>
          </w:p>
          <w:p w14:paraId="50FD96AA">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注：提供日接待流水相关证明材料复印件或提供承诺函原件（格式自拟）并加盖供应商公章。</w:t>
            </w:r>
          </w:p>
        </w:tc>
        <w:tc>
          <w:tcPr>
            <w:tcW w:w="790" w:type="dxa"/>
            <w:tcBorders>
              <w:tl2br w:val="nil"/>
              <w:tr2bl w:val="nil"/>
            </w:tcBorders>
            <w:vAlign w:val="center"/>
          </w:tcPr>
          <w:p w14:paraId="714DC29A">
            <w:pPr>
              <w:spacing w:line="360" w:lineRule="auto"/>
              <w:ind w:firstLine="480" w:firstLineChars="200"/>
              <w:rPr>
                <w:rFonts w:hint="eastAsia" w:ascii="宋体" w:hAnsi="宋体" w:eastAsia="宋体" w:cs="Times New Roman"/>
                <w:sz w:val="24"/>
                <w:szCs w:val="24"/>
              </w:rPr>
            </w:pPr>
          </w:p>
        </w:tc>
      </w:tr>
      <w:tr w14:paraId="117BB3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67FD0A4B">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5</w:t>
            </w:r>
          </w:p>
        </w:tc>
        <w:tc>
          <w:tcPr>
            <w:tcW w:w="753" w:type="dxa"/>
            <w:tcBorders>
              <w:tl2br w:val="nil"/>
              <w:tr2bl w:val="nil"/>
            </w:tcBorders>
            <w:vAlign w:val="center"/>
          </w:tcPr>
          <w:p w14:paraId="0E760EBF">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项目团队配备</w:t>
            </w:r>
          </w:p>
        </w:tc>
        <w:tc>
          <w:tcPr>
            <w:tcW w:w="729" w:type="dxa"/>
            <w:tcBorders>
              <w:tl2br w:val="nil"/>
              <w:tr2bl w:val="nil"/>
            </w:tcBorders>
            <w:vAlign w:val="center"/>
          </w:tcPr>
          <w:p w14:paraId="777CB33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24分</w:t>
            </w:r>
          </w:p>
        </w:tc>
        <w:tc>
          <w:tcPr>
            <w:tcW w:w="6228" w:type="dxa"/>
            <w:tcBorders>
              <w:tl2br w:val="nil"/>
              <w:tr2bl w:val="nil"/>
            </w:tcBorders>
            <w:vAlign w:val="center"/>
          </w:tcPr>
          <w:p w14:paraId="1BD990B2">
            <w:pPr>
              <w:spacing w:line="360" w:lineRule="auto"/>
              <w:ind w:firstLine="480" w:firstLineChars="200"/>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供应商为本项目提供的医疗技术人员在满足服务要求中人员要求的基础上：</w:t>
            </w:r>
          </w:p>
          <w:p w14:paraId="6418EFC2">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1.内科每增加1名副高级或以上职称人员加1分，最多得2分；</w:t>
            </w:r>
          </w:p>
          <w:p w14:paraId="278DC510">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2.外科每增加1名副高级或以上职称人员加1分，最多得2分；</w:t>
            </w:r>
          </w:p>
          <w:p w14:paraId="70F74FF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3.医学影像科每提供1名副高级或以上职称人员得1分，最多得2分；</w:t>
            </w:r>
          </w:p>
          <w:p w14:paraId="68B699B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4.医学检验科每提供1名副高级或以上职称人员得1分，最多得2分；</w:t>
            </w:r>
          </w:p>
          <w:p w14:paraId="530812C4">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5.妇科每提供1名副高级或以上职称人员得1分，最多得2分；</w:t>
            </w:r>
          </w:p>
          <w:p w14:paraId="297D6668">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6.检后分析汇总，根据单位要求可组织本单位省级或以上重点专科专家到校进行专题讲座1 场及组织3 名本单位省级或以上重点专科专家到校进行一对一体检报告现场咨询的</w:t>
            </w:r>
            <w:r>
              <w:rPr>
                <w:rFonts w:hint="eastAsia" w:ascii="宋体" w:hAnsi="宋体" w:eastAsia="宋体" w:cs="Times New Roman"/>
                <w:sz w:val="24"/>
                <w:szCs w:val="24"/>
                <w:lang w:eastAsia="zh-CN"/>
              </w:rPr>
              <w:t>（</w:t>
            </w:r>
            <w:r>
              <w:rPr>
                <w:rFonts w:hint="eastAsia" w:ascii="宋体" w:hAnsi="宋体" w:eastAsia="宋体" w:cs="Times New Roman"/>
                <w:sz w:val="24"/>
                <w:szCs w:val="24"/>
              </w:rPr>
              <w:t>得6分</w:t>
            </w:r>
            <w:r>
              <w:rPr>
                <w:rFonts w:hint="eastAsia" w:ascii="宋体" w:hAnsi="宋体" w:eastAsia="宋体" w:cs="Times New Roman"/>
                <w:sz w:val="24"/>
                <w:szCs w:val="24"/>
                <w:lang w:eastAsia="zh-CN"/>
              </w:rPr>
              <w:t>）</w:t>
            </w:r>
            <w:r>
              <w:rPr>
                <w:rFonts w:hint="eastAsia" w:ascii="宋体" w:hAnsi="宋体" w:eastAsia="宋体" w:cs="Times New Roman"/>
                <w:sz w:val="24"/>
                <w:szCs w:val="24"/>
              </w:rPr>
              <w:t xml:space="preserve"> </w:t>
            </w:r>
          </w:p>
          <w:p w14:paraId="59ABAFB3">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7.供应商从事健康体检涉及的相关科室（消化内科、医学影像学、心血管内科、健康管理）为市级重点学科每一项得2分，最多得8分。（提供相关证明材料并加盖公章）。</w:t>
            </w:r>
          </w:p>
          <w:p w14:paraId="74E62DC6">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注：①第1-6项提供执业医师的职称证复印件并加盖供应商公章，检验科医师提供技师证即可；②第7项中，省级或以上重点学科须提供评审相关文件；③执业医师和省级或以上重点学科专家执业地点须与供应商单位一致，若证书上无法体现，供应商也可提供医师执业地网上查询结果截图或其他能体现医师执业地点与供应商单位一致的有效证明材料。</w:t>
            </w:r>
          </w:p>
        </w:tc>
        <w:tc>
          <w:tcPr>
            <w:tcW w:w="790" w:type="dxa"/>
            <w:tcBorders>
              <w:tl2br w:val="nil"/>
              <w:tr2bl w:val="nil"/>
            </w:tcBorders>
            <w:vAlign w:val="center"/>
          </w:tcPr>
          <w:p w14:paraId="4575B792">
            <w:pPr>
              <w:spacing w:line="360" w:lineRule="auto"/>
              <w:ind w:firstLine="480" w:firstLineChars="200"/>
              <w:rPr>
                <w:rFonts w:hint="eastAsia" w:ascii="宋体" w:hAnsi="宋体" w:eastAsia="宋体" w:cs="Times New Roman"/>
                <w:sz w:val="24"/>
                <w:szCs w:val="24"/>
              </w:rPr>
            </w:pPr>
          </w:p>
        </w:tc>
      </w:tr>
      <w:tr w14:paraId="192981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7886627B">
            <w:pPr>
              <w:spacing w:line="360" w:lineRule="auto"/>
              <w:ind w:firstLine="240" w:firstLineChars="1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6</w:t>
            </w:r>
          </w:p>
        </w:tc>
        <w:tc>
          <w:tcPr>
            <w:tcW w:w="753" w:type="dxa"/>
            <w:tcBorders>
              <w:tl2br w:val="nil"/>
              <w:tr2bl w:val="nil"/>
            </w:tcBorders>
            <w:vAlign w:val="center"/>
          </w:tcPr>
          <w:p w14:paraId="08CF596D">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质控保障方案</w:t>
            </w:r>
          </w:p>
        </w:tc>
        <w:tc>
          <w:tcPr>
            <w:tcW w:w="729" w:type="dxa"/>
            <w:tcBorders>
              <w:tl2br w:val="nil"/>
              <w:tr2bl w:val="nil"/>
            </w:tcBorders>
            <w:vAlign w:val="center"/>
          </w:tcPr>
          <w:p w14:paraId="4DAB37FB">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6分</w:t>
            </w:r>
          </w:p>
        </w:tc>
        <w:tc>
          <w:tcPr>
            <w:tcW w:w="6228" w:type="dxa"/>
            <w:tcBorders>
              <w:tl2br w:val="nil"/>
              <w:tr2bl w:val="nil"/>
            </w:tcBorders>
            <w:vAlign w:val="center"/>
          </w:tcPr>
          <w:p w14:paraId="660E6B1B">
            <w:pPr>
              <w:numPr>
                <w:ilvl w:val="0"/>
                <w:numId w:val="6"/>
              </w:num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根据供应商针对本项目提供的质控保障方案（包括质量管理机构、人员配置计划、人员培训服务、人员职能分工、质量检查流程、质量保障措施）进行评审，每具有一项得1分，最多得6分；每缺少一项内容扣 1分，每有一处</w:t>
            </w:r>
            <w:r>
              <w:rPr>
                <w:rFonts w:hint="eastAsia" w:ascii="宋体" w:hAnsi="宋体" w:eastAsia="宋体" w:cs="Times New Roman"/>
                <w:sz w:val="24"/>
                <w:szCs w:val="24"/>
                <w:lang w:eastAsia="zh-CN"/>
              </w:rPr>
              <w:t>不足</w:t>
            </w:r>
            <w:r>
              <w:rPr>
                <w:rFonts w:hint="eastAsia" w:ascii="宋体" w:hAnsi="宋体" w:eastAsia="宋体" w:cs="Times New Roman"/>
                <w:sz w:val="24"/>
                <w:szCs w:val="24"/>
              </w:rPr>
              <w:t>扣0.5 分，扣完为止。</w:t>
            </w:r>
          </w:p>
          <w:p w14:paraId="09BB4016">
            <w:pPr>
              <w:numPr>
                <w:ilvl w:val="0"/>
                <w:numId w:val="0"/>
              </w:numPr>
              <w:spacing w:line="360" w:lineRule="auto"/>
              <w:rPr>
                <w:rFonts w:hint="eastAsia" w:ascii="宋体" w:hAnsi="宋体" w:eastAsia="宋体" w:cs="Times New Roman"/>
                <w:sz w:val="24"/>
                <w:szCs w:val="24"/>
              </w:rPr>
            </w:pPr>
            <w:r>
              <w:rPr>
                <w:rFonts w:hint="eastAsia" w:ascii="宋体" w:hAnsi="宋体" w:eastAsia="宋体" w:cstheme="minorBidi"/>
                <w:sz w:val="24"/>
                <w:szCs w:val="24"/>
              </w:rPr>
              <w:t>不足是指：①该方面内容体现不齐全；②阐述存在逻辑错误；③涉及内容无重点，不能体现出本项目的特点；④语言错误或存在歧义；⑤与本项目实际不完全相符；⑥项目名称、实施地点与本项目不一致等。</w:t>
            </w:r>
          </w:p>
        </w:tc>
        <w:tc>
          <w:tcPr>
            <w:tcW w:w="790" w:type="dxa"/>
            <w:tcBorders>
              <w:tl2br w:val="nil"/>
              <w:tr2bl w:val="nil"/>
            </w:tcBorders>
            <w:vAlign w:val="center"/>
          </w:tcPr>
          <w:p w14:paraId="7C6C3E34">
            <w:pPr>
              <w:spacing w:line="360" w:lineRule="auto"/>
              <w:ind w:firstLine="480" w:firstLineChars="200"/>
              <w:rPr>
                <w:rFonts w:hint="eastAsia" w:ascii="宋体" w:hAnsi="宋体" w:eastAsia="宋体" w:cs="Times New Roman"/>
                <w:sz w:val="24"/>
                <w:szCs w:val="24"/>
              </w:rPr>
            </w:pPr>
          </w:p>
        </w:tc>
      </w:tr>
      <w:tr w14:paraId="314B211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3EE34AA7">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7</w:t>
            </w:r>
          </w:p>
        </w:tc>
        <w:tc>
          <w:tcPr>
            <w:tcW w:w="753" w:type="dxa"/>
            <w:tcBorders>
              <w:tl2br w:val="nil"/>
              <w:tr2bl w:val="nil"/>
            </w:tcBorders>
            <w:vAlign w:val="center"/>
          </w:tcPr>
          <w:p w14:paraId="4A8C99E4">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lang w:eastAsia="zh-CN"/>
              </w:rPr>
              <w:t>医疗设备</w:t>
            </w:r>
            <w:r>
              <w:rPr>
                <w:rFonts w:hint="eastAsia" w:ascii="宋体" w:hAnsi="宋体" w:eastAsia="宋体" w:cs="Times New Roman"/>
                <w:sz w:val="24"/>
                <w:szCs w:val="24"/>
              </w:rPr>
              <w:t>配备</w:t>
            </w:r>
          </w:p>
        </w:tc>
        <w:tc>
          <w:tcPr>
            <w:tcW w:w="729" w:type="dxa"/>
            <w:tcBorders>
              <w:tl2br w:val="nil"/>
              <w:tr2bl w:val="nil"/>
            </w:tcBorders>
            <w:vAlign w:val="center"/>
          </w:tcPr>
          <w:p w14:paraId="652DD9DF">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1</w:t>
            </w:r>
            <w:r>
              <w:rPr>
                <w:rFonts w:hint="eastAsia" w:ascii="宋体" w:hAnsi="宋体" w:eastAsia="宋体" w:cs="Times New Roman"/>
                <w:sz w:val="24"/>
                <w:szCs w:val="24"/>
                <w:lang w:val="en-US" w:eastAsia="zh-CN"/>
              </w:rPr>
              <w:t>8</w:t>
            </w:r>
            <w:r>
              <w:rPr>
                <w:rFonts w:hint="eastAsia" w:ascii="宋体" w:hAnsi="宋体" w:eastAsia="宋体" w:cs="Times New Roman"/>
                <w:sz w:val="24"/>
                <w:szCs w:val="24"/>
              </w:rPr>
              <w:t>分</w:t>
            </w:r>
          </w:p>
        </w:tc>
        <w:tc>
          <w:tcPr>
            <w:tcW w:w="6228" w:type="dxa"/>
            <w:tcBorders>
              <w:tl2br w:val="nil"/>
              <w:tr2bl w:val="nil"/>
            </w:tcBorders>
            <w:vAlign w:val="center"/>
          </w:tcPr>
          <w:p w14:paraId="521EF1E8">
            <w:pPr>
              <w:spacing w:line="360" w:lineRule="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1.供应商为本项目提供独立配备的彩超在满足服务要求的基础上，每增加1台得2分，最高得</w:t>
            </w:r>
            <w:r>
              <w:rPr>
                <w:rFonts w:hint="eastAsia" w:ascii="宋体" w:hAnsi="宋体" w:eastAsia="宋体" w:cs="Times New Roman"/>
                <w:color w:val="000000" w:themeColor="text1"/>
                <w:sz w:val="24"/>
                <w:szCs w:val="24"/>
                <w:lang w:val="en-US" w:eastAsia="zh-CN"/>
                <w14:textFill>
                  <w14:solidFill>
                    <w14:schemeClr w14:val="tx1"/>
                  </w14:solidFill>
                </w14:textFill>
              </w:rPr>
              <w:t>8</w:t>
            </w:r>
            <w:r>
              <w:rPr>
                <w:rFonts w:hint="eastAsia" w:ascii="宋体" w:hAnsi="宋体" w:eastAsia="宋体" w:cs="Times New Roman"/>
                <w:color w:val="000000" w:themeColor="text1"/>
                <w:sz w:val="24"/>
                <w:szCs w:val="24"/>
                <w14:textFill>
                  <w14:solidFill>
                    <w14:schemeClr w14:val="tx1"/>
                  </w14:solidFill>
                </w14:textFill>
              </w:rPr>
              <w:t>分。</w:t>
            </w:r>
          </w:p>
          <w:p w14:paraId="14F52F1C">
            <w:pPr>
              <w:spacing w:line="360" w:lineRule="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2.供应商为本项目提供供应商自己拥有的独立配备的CT在满足服务要求的基础上，每增加1台得2分，最高得</w:t>
            </w:r>
            <w:r>
              <w:rPr>
                <w:rFonts w:hint="eastAsia" w:ascii="宋体" w:hAnsi="宋体" w:eastAsia="宋体" w:cs="Times New Roman"/>
                <w:color w:val="000000" w:themeColor="text1"/>
                <w:sz w:val="24"/>
                <w:szCs w:val="24"/>
                <w:lang w:val="en-US" w:eastAsia="zh-CN"/>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分。</w:t>
            </w:r>
          </w:p>
          <w:p w14:paraId="725E278D">
            <w:pPr>
              <w:numPr>
                <w:ilvl w:val="0"/>
                <w:numId w:val="0"/>
              </w:numPr>
              <w:spacing w:line="360" w:lineRule="auto"/>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lang w:val="en-US" w:eastAsia="zh-CN"/>
                <w14:textFill>
                  <w14:solidFill>
                    <w14:schemeClr w14:val="tx1"/>
                  </w14:solidFill>
                </w14:textFill>
              </w:rPr>
              <w:t>3.</w:t>
            </w:r>
            <w:r>
              <w:rPr>
                <w:rFonts w:hint="eastAsia" w:ascii="宋体" w:hAnsi="宋体" w:eastAsia="宋体" w:cs="Times New Roman"/>
                <w:color w:val="000000" w:themeColor="text1"/>
                <w:sz w:val="24"/>
                <w:szCs w:val="24"/>
                <w14:textFill>
                  <w14:solidFill>
                    <w14:schemeClr w14:val="tx1"/>
                  </w14:solidFill>
                </w14:textFill>
              </w:rPr>
              <w:t>供应商配备的生化分析仪及化学发光仪设备数量为2台得1分，在此基础上，每增加1台加1分，本项最高得</w:t>
            </w:r>
            <w:r>
              <w:rPr>
                <w:rFonts w:hint="eastAsia" w:ascii="宋体" w:hAnsi="宋体" w:eastAsia="宋体" w:cs="Times New Roman"/>
                <w:color w:val="000000" w:themeColor="text1"/>
                <w:sz w:val="24"/>
                <w:szCs w:val="24"/>
                <w:lang w:val="en-US" w:eastAsia="zh-CN"/>
                <w14:textFill>
                  <w14:solidFill>
                    <w14:schemeClr w14:val="tx1"/>
                  </w14:solidFill>
                </w14:textFill>
              </w:rPr>
              <w:t>4</w:t>
            </w:r>
            <w:r>
              <w:rPr>
                <w:rFonts w:hint="eastAsia" w:ascii="宋体" w:hAnsi="宋体" w:eastAsia="宋体" w:cs="Times New Roman"/>
                <w:color w:val="000000" w:themeColor="text1"/>
                <w:sz w:val="24"/>
                <w:szCs w:val="24"/>
                <w14:textFill>
                  <w14:solidFill>
                    <w14:schemeClr w14:val="tx1"/>
                  </w14:solidFill>
                </w14:textFill>
              </w:rPr>
              <w:t>分。提供1台生化分析仪及化学发光仪设备或不提供的不得分。</w:t>
            </w:r>
          </w:p>
          <w:p w14:paraId="49FC582F">
            <w:pPr>
              <w:pStyle w:val="8"/>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注：</w:t>
            </w:r>
            <w:r>
              <w:rPr>
                <w:rFonts w:hint="eastAsia" w:ascii="宋体" w:hAnsi="宋体" w:eastAsia="宋体" w:cs="Times New Roman"/>
                <w:color w:val="000000" w:themeColor="text1"/>
                <w:sz w:val="24"/>
                <w:szCs w:val="24"/>
                <w:lang w:eastAsia="zh-CN"/>
                <w14:textFill>
                  <w14:solidFill>
                    <w14:schemeClr w14:val="tx1"/>
                  </w14:solidFill>
                </w14:textFill>
              </w:rPr>
              <w:t>以上每项</w:t>
            </w:r>
            <w:r>
              <w:rPr>
                <w:rFonts w:hint="eastAsia" w:ascii="宋体" w:hAnsi="宋体" w:eastAsia="宋体" w:cs="Times New Roman"/>
                <w:color w:val="000000" w:themeColor="text1"/>
                <w:sz w:val="24"/>
                <w:szCs w:val="24"/>
                <w14:textFill>
                  <w14:solidFill>
                    <w14:schemeClr w14:val="tx1"/>
                  </w14:solidFill>
                </w14:textFill>
              </w:rPr>
              <w:t>需提供以下材料：①相应设备的照片，②设备购买发票或</w:t>
            </w:r>
            <w:r>
              <w:rPr>
                <w:rFonts w:hint="eastAsia" w:ascii="宋体" w:hAnsi="宋体" w:eastAsia="宋体" w:cs="Times New Roman"/>
                <w:color w:val="000000" w:themeColor="text1"/>
                <w:sz w:val="24"/>
                <w:szCs w:val="24"/>
                <w:lang w:eastAsia="zh-CN"/>
                <w14:textFill>
                  <w14:solidFill>
                    <w14:schemeClr w14:val="tx1"/>
                  </w14:solidFill>
                </w14:textFill>
              </w:rPr>
              <w:t>租赁</w:t>
            </w:r>
            <w:r>
              <w:rPr>
                <w:rFonts w:hint="eastAsia" w:ascii="宋体" w:hAnsi="宋体" w:eastAsia="宋体" w:cs="Times New Roman"/>
                <w:color w:val="000000" w:themeColor="text1"/>
                <w:sz w:val="24"/>
                <w:szCs w:val="24"/>
                <w14:textFill>
                  <w14:solidFill>
                    <w14:schemeClr w14:val="tx1"/>
                  </w14:solidFill>
                </w14:textFill>
              </w:rPr>
              <w:t>合同复印件</w:t>
            </w:r>
            <w:r>
              <w:rPr>
                <w:rFonts w:hint="eastAsia" w:ascii="宋体" w:hAnsi="宋体" w:eastAsia="宋体" w:cs="Times New Roman"/>
                <w:color w:val="000000" w:themeColor="text1"/>
                <w:sz w:val="24"/>
                <w:szCs w:val="24"/>
                <w:lang w:eastAsia="zh-CN"/>
                <w14:textFill>
                  <w14:solidFill>
                    <w14:schemeClr w14:val="tx1"/>
                  </w14:solidFill>
                </w14:textFill>
              </w:rPr>
              <w:t>并加盖公司鲜章。</w:t>
            </w:r>
            <w:r>
              <w:rPr>
                <w:rFonts w:hint="eastAsia" w:ascii="宋体" w:hAnsi="宋体" w:eastAsia="宋体" w:cs="Times New Roman"/>
                <w:color w:val="000000" w:themeColor="text1"/>
                <w:sz w:val="24"/>
                <w:szCs w:val="24"/>
                <w:lang w:val="en-US" w:eastAsia="zh-CN"/>
                <w14:textFill>
                  <w14:solidFill>
                    <w14:schemeClr w14:val="tx1"/>
                  </w14:solidFill>
                </w14:textFill>
              </w:rPr>
              <w:t>租赁设备需要覆盖服务期限即可。</w:t>
            </w:r>
          </w:p>
          <w:p w14:paraId="1956FC1D">
            <w:pPr>
              <w:spacing w:line="360" w:lineRule="auto"/>
              <w:ind w:firstLine="480" w:firstLineChars="200"/>
              <w:rPr>
                <w:rFonts w:hint="eastAsia" w:ascii="宋体" w:hAnsi="宋体" w:eastAsia="宋体" w:cs="Times New Roman"/>
                <w:color w:val="000000" w:themeColor="text1"/>
                <w:sz w:val="24"/>
                <w:szCs w:val="24"/>
                <w14:textFill>
                  <w14:solidFill>
                    <w14:schemeClr w14:val="tx1"/>
                  </w14:solidFill>
                </w14:textFill>
              </w:rPr>
            </w:pPr>
          </w:p>
        </w:tc>
        <w:tc>
          <w:tcPr>
            <w:tcW w:w="790" w:type="dxa"/>
            <w:tcBorders>
              <w:tl2br w:val="nil"/>
              <w:tr2bl w:val="nil"/>
            </w:tcBorders>
            <w:vAlign w:val="center"/>
          </w:tcPr>
          <w:p w14:paraId="0E99AACF">
            <w:pPr>
              <w:spacing w:line="360" w:lineRule="auto"/>
              <w:ind w:firstLine="480" w:firstLineChars="200"/>
              <w:rPr>
                <w:rFonts w:hint="eastAsia" w:ascii="宋体" w:hAnsi="宋体" w:eastAsia="宋体" w:cs="Times New Roman"/>
                <w:sz w:val="24"/>
                <w:szCs w:val="24"/>
              </w:rPr>
            </w:pPr>
          </w:p>
        </w:tc>
      </w:tr>
      <w:tr w14:paraId="42DC15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717" w:type="dxa"/>
            <w:tcBorders>
              <w:tl2br w:val="nil"/>
              <w:tr2bl w:val="nil"/>
            </w:tcBorders>
            <w:vAlign w:val="center"/>
          </w:tcPr>
          <w:p w14:paraId="526045E6">
            <w:pPr>
              <w:spacing w:line="360" w:lineRule="auto"/>
              <w:ind w:firstLine="240" w:firstLineChars="100"/>
              <w:rPr>
                <w:rFonts w:hint="eastAsia" w:ascii="宋体" w:hAnsi="宋体" w:eastAsia="宋体" w:cs="Times New Roman"/>
                <w:sz w:val="24"/>
                <w:szCs w:val="24"/>
              </w:rPr>
            </w:pPr>
            <w:r>
              <w:rPr>
                <w:rFonts w:hint="eastAsia" w:ascii="宋体" w:hAnsi="宋体" w:eastAsia="宋体" w:cs="Times New Roman"/>
                <w:sz w:val="24"/>
                <w:szCs w:val="24"/>
              </w:rPr>
              <w:t>8</w:t>
            </w:r>
          </w:p>
        </w:tc>
        <w:tc>
          <w:tcPr>
            <w:tcW w:w="753" w:type="dxa"/>
            <w:tcBorders>
              <w:tl2br w:val="nil"/>
              <w:tr2bl w:val="nil"/>
            </w:tcBorders>
            <w:vAlign w:val="center"/>
          </w:tcPr>
          <w:p w14:paraId="2EFA2BB9">
            <w:pPr>
              <w:spacing w:line="360" w:lineRule="auto"/>
              <w:jc w:val="left"/>
              <w:rPr>
                <w:rFonts w:hint="eastAsia" w:ascii="宋体" w:hAnsi="宋体" w:eastAsia="宋体" w:cs="Times New Roman"/>
                <w:sz w:val="24"/>
                <w:szCs w:val="24"/>
              </w:rPr>
            </w:pPr>
            <w:r>
              <w:rPr>
                <w:rFonts w:hint="eastAsia" w:ascii="宋体" w:hAnsi="宋体" w:eastAsia="宋体" w:cs="Times New Roman"/>
                <w:sz w:val="24"/>
                <w:szCs w:val="24"/>
              </w:rPr>
              <w:t>履约能力</w:t>
            </w:r>
          </w:p>
        </w:tc>
        <w:tc>
          <w:tcPr>
            <w:tcW w:w="729" w:type="dxa"/>
            <w:tcBorders>
              <w:tl2br w:val="nil"/>
              <w:tr2bl w:val="nil"/>
            </w:tcBorders>
            <w:vAlign w:val="center"/>
          </w:tcPr>
          <w:p w14:paraId="69376F77">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6分</w:t>
            </w:r>
          </w:p>
        </w:tc>
        <w:tc>
          <w:tcPr>
            <w:tcW w:w="6228" w:type="dxa"/>
            <w:tcBorders>
              <w:tl2br w:val="nil"/>
              <w:tr2bl w:val="nil"/>
            </w:tcBorders>
          </w:tcPr>
          <w:p w14:paraId="0F9D9089">
            <w:pPr>
              <w:spacing w:line="360" w:lineRule="auto"/>
              <w:rPr>
                <w:rFonts w:hint="eastAsia" w:ascii="宋体" w:hAnsi="宋体" w:eastAsia="宋体" w:cs="Times New Roman"/>
                <w:sz w:val="24"/>
                <w:szCs w:val="24"/>
              </w:rPr>
            </w:pPr>
            <w:r>
              <w:rPr>
                <w:rFonts w:hint="eastAsia" w:ascii="宋体" w:hAnsi="宋体" w:eastAsia="宋体" w:cs="Times New Roman"/>
                <w:sz w:val="24"/>
                <w:szCs w:val="24"/>
              </w:rPr>
              <w:t>供应商每提供一个2021年</w:t>
            </w:r>
            <w:r>
              <w:rPr>
                <w:rFonts w:hint="eastAsia" w:ascii="宋体" w:hAnsi="宋体" w:eastAsia="宋体" w:cs="Times New Roman"/>
                <w:sz w:val="24"/>
                <w:szCs w:val="24"/>
                <w:lang w:val="en-US" w:eastAsia="zh-CN"/>
              </w:rPr>
              <w:t>1月1日</w:t>
            </w:r>
            <w:r>
              <w:rPr>
                <w:rFonts w:hint="eastAsia" w:ascii="宋体" w:hAnsi="宋体" w:eastAsia="宋体" w:cs="Times New Roman"/>
                <w:sz w:val="24"/>
                <w:szCs w:val="24"/>
              </w:rPr>
              <w:t>至今类似本项目履约经验的得2分，本项最多得6分。（注：提供合同复印件或中标（成交）通知书复印件加盖公（鲜）章，未按要求提供的不得分）</w:t>
            </w:r>
          </w:p>
          <w:p w14:paraId="58383134">
            <w:pPr>
              <w:spacing w:line="360" w:lineRule="auto"/>
              <w:rPr>
                <w:rFonts w:hint="eastAsia" w:ascii="宋体" w:hAnsi="宋体" w:eastAsia="宋体" w:cs="Times New Roman"/>
                <w:sz w:val="24"/>
                <w:szCs w:val="24"/>
              </w:rPr>
            </w:pPr>
          </w:p>
        </w:tc>
        <w:tc>
          <w:tcPr>
            <w:tcW w:w="790" w:type="dxa"/>
            <w:tcBorders>
              <w:tl2br w:val="nil"/>
              <w:tr2bl w:val="nil"/>
            </w:tcBorders>
            <w:vAlign w:val="center"/>
          </w:tcPr>
          <w:p w14:paraId="017AAC37">
            <w:pPr>
              <w:spacing w:line="360" w:lineRule="auto"/>
              <w:ind w:firstLine="480" w:firstLineChars="200"/>
              <w:rPr>
                <w:rFonts w:hint="eastAsia" w:ascii="宋体" w:hAnsi="宋体" w:eastAsia="宋体" w:cs="Times New Roman"/>
                <w:sz w:val="24"/>
                <w:szCs w:val="24"/>
              </w:rPr>
            </w:pPr>
          </w:p>
        </w:tc>
      </w:tr>
    </w:tbl>
    <w:p w14:paraId="700A2443">
      <w:pPr>
        <w:spacing w:line="360" w:lineRule="auto"/>
        <w:ind w:firstLine="240" w:firstLineChars="100"/>
        <w:rPr>
          <w:rFonts w:hint="eastAsia" w:ascii="宋体" w:hAnsi="宋体" w:eastAsia="宋体"/>
          <w:sz w:val="24"/>
          <w:szCs w:val="24"/>
          <w:rtl w:val="0"/>
          <w:lang w:val="en-US"/>
        </w:rPr>
      </w:pPr>
    </w:p>
    <w:p w14:paraId="71F9A717">
      <w:pPr>
        <w:spacing w:line="360" w:lineRule="auto"/>
        <w:ind w:firstLine="470" w:firstLineChars="196"/>
        <w:rPr>
          <w:rFonts w:hint="eastAsia" w:ascii="宋体" w:hAnsi="宋体" w:eastAsia="宋体"/>
          <w:sz w:val="24"/>
          <w:szCs w:val="24"/>
        </w:rPr>
      </w:pPr>
    </w:p>
    <w:p w14:paraId="6B230E5B">
      <w:pPr>
        <w:rPr>
          <w:rFonts w:ascii="宋体" w:hAnsi="宋体" w:eastAsia="宋体"/>
          <w:sz w:val="24"/>
        </w:rPr>
      </w:pPr>
    </w:p>
    <w:p w14:paraId="7A81646A">
      <w:pPr>
        <w:spacing w:line="360" w:lineRule="auto"/>
        <w:ind w:firstLine="470" w:firstLineChars="196"/>
        <w:rPr>
          <w:rFonts w:hint="eastAsia" w:ascii="宋体" w:hAnsi="宋体" w:eastAsia="宋体"/>
          <w:sz w:val="24"/>
          <w:szCs w:val="24"/>
        </w:rPr>
      </w:pPr>
    </w:p>
    <w:p w14:paraId="5D0AB93F">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 </w:t>
      </w:r>
    </w:p>
    <w:p w14:paraId="34A2D873">
      <w:pPr>
        <w:rPr>
          <w:color w:val="000000" w:themeColor="text1"/>
          <w14:textFill>
            <w14:solidFill>
              <w14:schemeClr w14:val="tx1"/>
            </w14:solidFill>
          </w14:textFill>
        </w:rPr>
      </w:pPr>
    </w:p>
    <w:p w14:paraId="31385088">
      <w:pPr>
        <w:ind w:firstLine="1760" w:firstLineChars="400"/>
        <w:rPr>
          <w:rFonts w:hint="eastAsia" w:ascii="宋体" w:hAnsi="宋体" w:eastAsia="宋体"/>
          <w:color w:val="000000"/>
          <w:sz w:val="44"/>
          <w:szCs w:val="44"/>
        </w:rPr>
      </w:pPr>
    </w:p>
    <w:p w14:paraId="254A8E96">
      <w:pPr>
        <w:ind w:firstLine="1760" w:firstLineChars="400"/>
        <w:rPr>
          <w:rFonts w:hint="eastAsia" w:ascii="宋体" w:hAnsi="宋体" w:eastAsia="宋体"/>
          <w:color w:val="000000"/>
          <w:sz w:val="44"/>
          <w:szCs w:val="44"/>
        </w:rPr>
      </w:pPr>
    </w:p>
    <w:p w14:paraId="0C84E69E">
      <w:pPr>
        <w:ind w:firstLine="1760" w:firstLineChars="400"/>
        <w:rPr>
          <w:rFonts w:hint="eastAsia" w:ascii="宋体" w:hAnsi="宋体" w:eastAsia="宋体"/>
          <w:color w:val="000000"/>
          <w:sz w:val="44"/>
          <w:szCs w:val="44"/>
        </w:rPr>
      </w:pPr>
    </w:p>
    <w:p w14:paraId="3B2FF067">
      <w:pPr>
        <w:ind w:firstLine="1760" w:firstLineChars="400"/>
        <w:rPr>
          <w:rFonts w:hint="eastAsia" w:ascii="宋体" w:hAnsi="宋体" w:eastAsia="宋体"/>
          <w:color w:val="000000"/>
          <w:sz w:val="44"/>
          <w:szCs w:val="44"/>
        </w:rPr>
      </w:pPr>
    </w:p>
    <w:p w14:paraId="1F14177A">
      <w:pPr>
        <w:ind w:firstLine="1760" w:firstLineChars="400"/>
        <w:rPr>
          <w:rFonts w:hint="eastAsia" w:ascii="宋体" w:hAnsi="宋体" w:eastAsia="宋体"/>
          <w:color w:val="000000"/>
          <w:sz w:val="44"/>
          <w:szCs w:val="44"/>
        </w:rPr>
      </w:pPr>
    </w:p>
    <w:p w14:paraId="7B353DCB">
      <w:pPr>
        <w:ind w:firstLine="1760" w:firstLineChars="400"/>
        <w:rPr>
          <w:rFonts w:hint="eastAsia" w:ascii="宋体" w:hAnsi="宋体" w:eastAsia="宋体"/>
          <w:color w:val="000000"/>
          <w:sz w:val="44"/>
          <w:szCs w:val="44"/>
        </w:rPr>
      </w:pPr>
    </w:p>
    <w:p w14:paraId="2B64A9E6">
      <w:pPr>
        <w:ind w:firstLine="1325" w:firstLineChars="300"/>
        <w:rPr>
          <w:rFonts w:hint="eastAsia" w:ascii="宋体" w:hAnsi="宋体" w:eastAsia="宋体"/>
          <w:b/>
          <w:bCs/>
          <w:color w:val="000000"/>
          <w:sz w:val="44"/>
          <w:szCs w:val="44"/>
        </w:rPr>
      </w:pPr>
    </w:p>
    <w:p w14:paraId="09337A55">
      <w:pPr>
        <w:ind w:firstLine="1325" w:firstLineChars="300"/>
        <w:rPr>
          <w:rFonts w:hint="eastAsia" w:ascii="宋体" w:hAnsi="宋体" w:eastAsia="宋体"/>
          <w:b/>
          <w:bCs/>
          <w:color w:val="000000"/>
          <w:sz w:val="44"/>
          <w:szCs w:val="44"/>
        </w:rPr>
      </w:pPr>
    </w:p>
    <w:p w14:paraId="182C6912">
      <w:pPr>
        <w:ind w:firstLine="1767" w:firstLineChars="400"/>
        <w:rPr>
          <w:rFonts w:hint="eastAsia" w:ascii="宋体" w:hAnsi="宋体" w:eastAsia="宋体"/>
          <w:b/>
          <w:bCs/>
          <w:color w:val="000000"/>
          <w:sz w:val="44"/>
          <w:szCs w:val="44"/>
        </w:rPr>
      </w:pPr>
      <w:r>
        <w:rPr>
          <w:rFonts w:hint="eastAsia" w:ascii="宋体" w:hAnsi="宋体" w:eastAsia="宋体"/>
          <w:b/>
          <w:bCs/>
          <w:color w:val="000000"/>
          <w:sz w:val="44"/>
          <w:szCs w:val="44"/>
        </w:rPr>
        <w:t>第六章 比选申请文件格式</w:t>
      </w:r>
    </w:p>
    <w:p w14:paraId="42187562">
      <w:pPr>
        <w:ind w:firstLine="1760" w:firstLineChars="400"/>
        <w:rPr>
          <w:rFonts w:hint="eastAsia" w:ascii="宋体" w:hAnsi="宋体" w:eastAsia="宋体"/>
          <w:color w:val="000000"/>
          <w:sz w:val="44"/>
          <w:szCs w:val="44"/>
        </w:rPr>
      </w:pPr>
    </w:p>
    <w:bookmarkEnd w:id="25"/>
    <w:p w14:paraId="2313515B">
      <w:pPr>
        <w:jc w:val="center"/>
        <w:rPr>
          <w:rFonts w:ascii="宋体" w:hAnsi="宋体" w:eastAsia="宋体" w:cs="Times New Roman"/>
          <w:b/>
          <w:sz w:val="36"/>
        </w:rPr>
      </w:pPr>
      <w:r>
        <w:rPr>
          <w:rFonts w:ascii="宋体" w:hAnsi="宋体" w:eastAsia="宋体" w:cs="Times New Roman"/>
          <w:b/>
          <w:sz w:val="36"/>
        </w:rPr>
        <w:t>（正本）</w:t>
      </w:r>
    </w:p>
    <w:p w14:paraId="1076DBB3">
      <w:pPr>
        <w:pStyle w:val="17"/>
        <w:jc w:val="center"/>
        <w:rPr>
          <w:rFonts w:ascii="宋体" w:hAnsi="宋体" w:eastAsia="宋体"/>
          <w:b/>
          <w:sz w:val="72"/>
          <w:szCs w:val="72"/>
        </w:rPr>
      </w:pPr>
      <w:r>
        <w:rPr>
          <w:rFonts w:hint="eastAsia" w:ascii="宋体" w:hAnsi="宋体" w:eastAsia="宋体"/>
          <w:b/>
          <w:sz w:val="72"/>
          <w:szCs w:val="72"/>
        </w:rPr>
        <w:t>XXXXX项目</w:t>
      </w:r>
    </w:p>
    <w:p w14:paraId="34864490">
      <w:pPr>
        <w:spacing w:line="360" w:lineRule="auto"/>
        <w:ind w:firstLine="1446" w:firstLineChars="200"/>
        <w:rPr>
          <w:rFonts w:ascii="宋体" w:hAnsi="宋体" w:eastAsia="宋体"/>
          <w:b/>
          <w:sz w:val="72"/>
          <w:szCs w:val="72"/>
        </w:rPr>
      </w:pPr>
      <w:r>
        <w:rPr>
          <w:rFonts w:hint="eastAsia" w:ascii="宋体" w:hAnsi="宋体" w:eastAsia="宋体"/>
          <w:b/>
          <w:sz w:val="72"/>
          <w:szCs w:val="72"/>
        </w:rPr>
        <w:t>竞争性比选申请文件</w:t>
      </w:r>
    </w:p>
    <w:p w14:paraId="61F0EC3F">
      <w:pPr>
        <w:spacing w:line="360" w:lineRule="auto"/>
        <w:ind w:firstLine="1446" w:firstLineChars="200"/>
        <w:jc w:val="left"/>
        <w:rPr>
          <w:rFonts w:ascii="宋体" w:hAnsi="宋体" w:eastAsia="宋体"/>
          <w:b/>
          <w:sz w:val="72"/>
          <w:szCs w:val="72"/>
        </w:rPr>
      </w:pPr>
    </w:p>
    <w:p w14:paraId="21AD3DA0">
      <w:pPr>
        <w:spacing w:line="360" w:lineRule="auto"/>
        <w:ind w:firstLine="1446" w:firstLineChars="200"/>
        <w:jc w:val="left"/>
        <w:rPr>
          <w:rFonts w:ascii="宋体" w:hAnsi="宋体" w:eastAsia="宋体"/>
          <w:b/>
          <w:sz w:val="72"/>
          <w:szCs w:val="72"/>
        </w:rPr>
      </w:pPr>
    </w:p>
    <w:p w14:paraId="3BA0A833">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14:paraId="7E48BFE3">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14:paraId="3BBABA74">
      <w:pPr>
        <w:pStyle w:val="9"/>
        <w:ind w:firstLine="643" w:firstLineChars="200"/>
        <w:rPr>
          <w:rFonts w:ascii="宋体" w:hAnsi="宋体" w:eastAsia="宋体"/>
        </w:rPr>
      </w:pPr>
      <w:r>
        <w:rPr>
          <w:rFonts w:hint="eastAsia" w:ascii="宋体" w:hAnsi="宋体" w:eastAsia="宋体" w:cs="Times New Roman"/>
          <w:b/>
          <w:sz w:val="32"/>
        </w:rPr>
        <w:t>包号：（若有）</w:t>
      </w:r>
    </w:p>
    <w:p w14:paraId="3BF754E2">
      <w:pPr>
        <w:jc w:val="center"/>
        <w:rPr>
          <w:rFonts w:ascii="宋体" w:hAnsi="宋体" w:eastAsia="宋体" w:cs="Times New Roman"/>
          <w:b/>
          <w:sz w:val="36"/>
        </w:rPr>
      </w:pPr>
    </w:p>
    <w:p w14:paraId="4278E5BD">
      <w:pPr>
        <w:jc w:val="center"/>
        <w:rPr>
          <w:rFonts w:ascii="宋体" w:hAnsi="宋体" w:eastAsia="宋体" w:cs="Times New Roman"/>
          <w:b/>
          <w:sz w:val="32"/>
          <w:szCs w:val="32"/>
        </w:rPr>
      </w:pPr>
    </w:p>
    <w:p w14:paraId="66D7C2B7">
      <w:pPr>
        <w:jc w:val="center"/>
        <w:rPr>
          <w:rFonts w:ascii="宋体" w:hAnsi="宋体" w:eastAsia="宋体" w:cs="Times New Roman"/>
          <w:b/>
          <w:sz w:val="36"/>
        </w:rPr>
      </w:pPr>
    </w:p>
    <w:p w14:paraId="3377F271">
      <w:pPr>
        <w:jc w:val="center"/>
        <w:rPr>
          <w:rFonts w:ascii="宋体" w:hAnsi="宋体" w:eastAsia="宋体" w:cs="Times New Roman"/>
          <w:b/>
          <w:sz w:val="36"/>
        </w:rPr>
      </w:pPr>
    </w:p>
    <w:p w14:paraId="3ADA5C79">
      <w:pPr>
        <w:spacing w:line="440" w:lineRule="exact"/>
        <w:jc w:val="center"/>
        <w:rPr>
          <w:rFonts w:ascii="宋体" w:hAnsi="宋体" w:eastAsia="宋体" w:cs="Times New Roman"/>
          <w:b/>
          <w:sz w:val="36"/>
        </w:rPr>
      </w:pPr>
    </w:p>
    <w:p w14:paraId="475A7503">
      <w:pPr>
        <w:jc w:val="center"/>
        <w:rPr>
          <w:rFonts w:ascii="宋体" w:hAnsi="宋体" w:eastAsia="宋体" w:cs="Arial"/>
          <w:b/>
          <w:bCs/>
          <w:sz w:val="32"/>
          <w:szCs w:val="32"/>
        </w:rPr>
      </w:pPr>
      <w:r>
        <w:rPr>
          <w:rFonts w:hint="eastAsia" w:ascii="宋体" w:hAnsi="宋体" w:eastAsia="宋体" w:cs="Times New Roman"/>
          <w:b/>
          <w:sz w:val="32"/>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14:paraId="463FE520">
      <w:pPr>
        <w:rPr>
          <w:rFonts w:ascii="宋体" w:hAnsi="宋体" w:eastAsia="宋体"/>
          <w:sz w:val="32"/>
        </w:rPr>
      </w:pPr>
      <w:bookmarkStart w:id="28" w:name="_Toc217446082"/>
      <w:r>
        <w:rPr>
          <w:rFonts w:hint="eastAsia" w:ascii="宋体" w:hAnsi="宋体" w:eastAsia="宋体"/>
          <w:sz w:val="32"/>
        </w:rPr>
        <w:br w:type="page"/>
      </w:r>
    </w:p>
    <w:p w14:paraId="67E45AD2">
      <w:pPr>
        <w:pStyle w:val="3"/>
        <w:spacing w:line="400" w:lineRule="exact"/>
        <w:ind w:firstLine="3534" w:firstLineChars="1100"/>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14:paraId="447FEA9A">
      <w:pPr>
        <w:pStyle w:val="13"/>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14:paraId="681799F0">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14:paraId="39A61F03">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14:paraId="19EA4EF2">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14:paraId="43BE578D">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p>
    <w:p w14:paraId="76255AFD">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14:paraId="4827250C">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14:paraId="50EFE44F">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14:paraId="1B2C70F0">
      <w:pPr>
        <w:pStyle w:val="13"/>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14:paraId="5C7C8217">
      <w:pPr>
        <w:pStyle w:val="13"/>
        <w:spacing w:line="400" w:lineRule="exact"/>
        <w:ind w:firstLine="0"/>
        <w:rPr>
          <w:rFonts w:ascii="宋体" w:hAnsi="宋体" w:eastAsia="宋体"/>
          <w:bCs/>
          <w:sz w:val="24"/>
          <w:szCs w:val="24"/>
        </w:rPr>
      </w:pPr>
    </w:p>
    <w:p w14:paraId="3C823C19">
      <w:pPr>
        <w:pStyle w:val="13"/>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14:paraId="0386673B">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14:paraId="3D816D2A">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14:paraId="74C1FBD7">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14:paraId="470C2656">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14:paraId="7CEE04FB">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14:paraId="5EBC8BC4">
      <w:pPr>
        <w:pStyle w:val="13"/>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14:paraId="3574C6BF">
      <w:pPr>
        <w:rPr>
          <w:rFonts w:ascii="宋体" w:hAnsi="宋体" w:eastAsia="宋体"/>
          <w:b/>
          <w:sz w:val="32"/>
          <w:szCs w:val="32"/>
        </w:rPr>
      </w:pPr>
      <w:r>
        <w:rPr>
          <w:rFonts w:hint="eastAsia" w:ascii="宋体" w:hAnsi="宋体" w:eastAsia="宋体"/>
          <w:b/>
          <w:sz w:val="32"/>
          <w:szCs w:val="32"/>
        </w:rPr>
        <w:br w:type="page"/>
      </w:r>
    </w:p>
    <w:p w14:paraId="392B6ABB">
      <w:pPr>
        <w:pStyle w:val="3"/>
        <w:spacing w:line="400" w:lineRule="exact"/>
        <w:jc w:val="center"/>
        <w:rPr>
          <w:rFonts w:ascii="宋体" w:hAnsi="宋体" w:eastAsia="宋体"/>
          <w:sz w:val="32"/>
        </w:rPr>
      </w:pPr>
      <w:r>
        <w:rPr>
          <w:rFonts w:hint="eastAsia" w:ascii="宋体" w:hAnsi="宋体" w:eastAsia="宋体"/>
          <w:sz w:val="32"/>
        </w:rPr>
        <w:t>二、法定代表人/单位负责人授权书</w:t>
      </w:r>
    </w:p>
    <w:p w14:paraId="104ACDB2">
      <w:pPr>
        <w:widowControl/>
        <w:spacing w:line="360" w:lineRule="atLeast"/>
        <w:ind w:firstLine="472" w:firstLineChars="196"/>
        <w:jc w:val="left"/>
        <w:rPr>
          <w:rFonts w:ascii="宋体" w:hAnsi="宋体" w:eastAsia="宋体"/>
          <w:b/>
          <w:sz w:val="24"/>
        </w:rPr>
      </w:pPr>
    </w:p>
    <w:p w14:paraId="06F47651">
      <w:pPr>
        <w:widowControl/>
        <w:spacing w:line="360" w:lineRule="atLeast"/>
        <w:ind w:firstLine="472" w:firstLineChars="196"/>
        <w:jc w:val="left"/>
        <w:rPr>
          <w:rFonts w:ascii="宋体" w:hAnsi="宋体" w:eastAsia="宋体"/>
          <w:b/>
          <w:sz w:val="24"/>
        </w:rPr>
      </w:pPr>
    </w:p>
    <w:p w14:paraId="2A67FA5A">
      <w:pPr>
        <w:widowControl/>
        <w:spacing w:line="360" w:lineRule="auto"/>
        <w:jc w:val="left"/>
        <w:rPr>
          <w:rFonts w:ascii="宋体" w:hAnsi="宋体" w:eastAsia="宋体"/>
          <w:sz w:val="24"/>
        </w:rPr>
      </w:pPr>
      <w:r>
        <w:rPr>
          <w:rFonts w:hint="eastAsia" w:ascii="宋体" w:hAnsi="宋体" w:eastAsia="宋体"/>
          <w:sz w:val="24"/>
        </w:rPr>
        <w:t>四川铁道职业学院：</w:t>
      </w:r>
    </w:p>
    <w:p w14:paraId="56F658E9">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9E404AC">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14:paraId="4EEB8FC1">
      <w:pPr>
        <w:pStyle w:val="9"/>
        <w:rPr>
          <w:rFonts w:ascii="宋体" w:hAnsi="宋体" w:eastAsia="宋体"/>
        </w:rPr>
      </w:pPr>
    </w:p>
    <w:p w14:paraId="0C28F71A">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14:paraId="6F0BE12D">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14:paraId="0A378B8E">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14:paraId="33D885AB">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14:paraId="265D04EF">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F95BAF7"/>
                          <w:p w14:paraId="71717E5C">
                            <w:pPr>
                              <w:jc w:val="center"/>
                              <w:rPr>
                                <w:rFonts w:ascii="仿宋" w:hAnsi="仿宋" w:eastAsia="仿宋" w:cs="仿宋"/>
                                <w:b/>
                                <w:bCs/>
                                <w:sz w:val="32"/>
                                <w:szCs w:val="36"/>
                              </w:rPr>
                            </w:pPr>
                          </w:p>
                          <w:p w14:paraId="50E518BA">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14:paraId="2F95BAF7"/>
                    <w:p w14:paraId="71717E5C">
                      <w:pPr>
                        <w:jc w:val="center"/>
                        <w:rPr>
                          <w:rFonts w:ascii="仿宋" w:hAnsi="仿宋" w:eastAsia="仿宋" w:cs="仿宋"/>
                          <w:b/>
                          <w:bCs/>
                          <w:sz w:val="32"/>
                          <w:szCs w:val="36"/>
                        </w:rPr>
                      </w:pPr>
                    </w:p>
                    <w:p w14:paraId="50E518BA">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886A126"/>
                          <w:p w14:paraId="47CEEAF5">
                            <w:pPr>
                              <w:jc w:val="center"/>
                              <w:rPr>
                                <w:rFonts w:ascii="仿宋" w:hAnsi="仿宋" w:eastAsia="仿宋" w:cs="仿宋"/>
                                <w:b/>
                                <w:bCs/>
                                <w:sz w:val="32"/>
                                <w:szCs w:val="36"/>
                              </w:rPr>
                            </w:pPr>
                          </w:p>
                          <w:p w14:paraId="2296D02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14:paraId="1886A126"/>
                    <w:p w14:paraId="47CEEAF5">
                      <w:pPr>
                        <w:jc w:val="center"/>
                        <w:rPr>
                          <w:rFonts w:ascii="仿宋" w:hAnsi="仿宋" w:eastAsia="仿宋" w:cs="仿宋"/>
                          <w:b/>
                          <w:bCs/>
                          <w:sz w:val="32"/>
                          <w:szCs w:val="36"/>
                        </w:rPr>
                      </w:pPr>
                    </w:p>
                    <w:p w14:paraId="2296D026">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14:paraId="54B80CF2">
      <w:pPr>
        <w:widowControl/>
        <w:spacing w:line="360" w:lineRule="atLeast"/>
        <w:jc w:val="left"/>
        <w:rPr>
          <w:rFonts w:ascii="宋体" w:hAnsi="宋体" w:eastAsia="宋体"/>
          <w:b/>
          <w:sz w:val="24"/>
        </w:rPr>
      </w:pPr>
    </w:p>
    <w:p w14:paraId="198361C5">
      <w:pPr>
        <w:widowControl/>
        <w:spacing w:line="360" w:lineRule="atLeast"/>
        <w:jc w:val="left"/>
        <w:rPr>
          <w:rFonts w:ascii="宋体" w:hAnsi="宋体" w:eastAsia="宋体"/>
          <w:b/>
          <w:sz w:val="24"/>
        </w:rPr>
      </w:pPr>
    </w:p>
    <w:p w14:paraId="1075865C">
      <w:pPr>
        <w:widowControl/>
        <w:spacing w:line="360" w:lineRule="atLeast"/>
        <w:jc w:val="left"/>
        <w:rPr>
          <w:rFonts w:ascii="宋体" w:hAnsi="宋体" w:eastAsia="宋体"/>
          <w:b/>
          <w:sz w:val="24"/>
        </w:rPr>
      </w:pPr>
    </w:p>
    <w:p w14:paraId="68B83CA9">
      <w:pPr>
        <w:spacing w:line="400" w:lineRule="exact"/>
        <w:ind w:firstLine="480" w:firstLineChars="200"/>
        <w:rPr>
          <w:rFonts w:ascii="宋体" w:hAnsi="宋体" w:eastAsia="宋体"/>
          <w:sz w:val="24"/>
        </w:rPr>
      </w:pPr>
    </w:p>
    <w:p w14:paraId="113C51FA">
      <w:pPr>
        <w:spacing w:line="400" w:lineRule="exact"/>
        <w:ind w:firstLine="480" w:firstLineChars="200"/>
        <w:rPr>
          <w:rFonts w:ascii="宋体" w:hAnsi="宋体" w:eastAsia="宋体"/>
          <w:sz w:val="24"/>
        </w:rPr>
      </w:pPr>
    </w:p>
    <w:p w14:paraId="44A7A805">
      <w:pPr>
        <w:spacing w:line="400" w:lineRule="exact"/>
        <w:ind w:firstLine="480" w:firstLineChars="200"/>
        <w:rPr>
          <w:rFonts w:ascii="宋体" w:hAnsi="宋体" w:eastAsia="宋体"/>
          <w:sz w:val="24"/>
        </w:rPr>
      </w:pPr>
    </w:p>
    <w:p w14:paraId="5EACCC78">
      <w:pPr>
        <w:spacing w:line="400" w:lineRule="exact"/>
        <w:ind w:firstLine="480" w:firstLineChars="200"/>
        <w:rPr>
          <w:rFonts w:ascii="宋体" w:hAnsi="宋体" w:eastAsia="宋体"/>
          <w:sz w:val="24"/>
        </w:rPr>
      </w:pPr>
    </w:p>
    <w:p w14:paraId="22F11089">
      <w:pPr>
        <w:spacing w:line="400" w:lineRule="exact"/>
        <w:ind w:firstLine="480" w:firstLineChars="200"/>
        <w:rPr>
          <w:rFonts w:ascii="宋体" w:hAnsi="宋体" w:eastAsia="宋体"/>
          <w:sz w:val="24"/>
        </w:rPr>
      </w:pPr>
      <w:r>
        <w:rPr>
          <w:rFonts w:hint="eastAsia" w:ascii="宋体" w:hAnsi="宋体" w:eastAsia="宋体"/>
          <w:sz w:val="24"/>
        </w:rPr>
        <w:t>注：</w:t>
      </w:r>
    </w:p>
    <w:p w14:paraId="0837F123">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14:paraId="7558A090">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14:paraId="1C87B138">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14:paraId="7AEA49CD">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Borders>
            <w:top w:val="none" w:sz="0" w:space="0"/>
            <w:left w:val="none" w:sz="0" w:space="0"/>
            <w:bottom w:val="none" w:sz="0" w:space="0"/>
            <w:right w:val="none" w:sz="0" w:space="0"/>
          </w:pgBorders>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14:paraId="0B87EA83">
      <w:pPr>
        <w:pStyle w:val="3"/>
        <w:spacing w:line="400" w:lineRule="exact"/>
        <w:jc w:val="center"/>
        <w:rPr>
          <w:rFonts w:ascii="宋体" w:hAnsi="宋体" w:eastAsia="宋体"/>
          <w:sz w:val="32"/>
        </w:rPr>
      </w:pPr>
      <w:r>
        <w:rPr>
          <w:rFonts w:hint="eastAsia" w:ascii="宋体" w:hAnsi="宋体" w:eastAsia="宋体"/>
          <w:sz w:val="32"/>
        </w:rPr>
        <w:t>三、承诺函</w:t>
      </w:r>
    </w:p>
    <w:p w14:paraId="091B5E4C">
      <w:pPr>
        <w:widowControl/>
        <w:spacing w:line="312" w:lineRule="auto"/>
        <w:jc w:val="left"/>
        <w:rPr>
          <w:rFonts w:ascii="宋体" w:hAnsi="宋体" w:eastAsia="宋体"/>
          <w:sz w:val="24"/>
        </w:rPr>
      </w:pPr>
      <w:r>
        <w:rPr>
          <w:rFonts w:hint="eastAsia" w:ascii="宋体" w:hAnsi="宋体" w:eastAsia="宋体"/>
          <w:sz w:val="24"/>
        </w:rPr>
        <w:t>四川铁道职业学院：</w:t>
      </w:r>
    </w:p>
    <w:p w14:paraId="515BABDC">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我方全面研究了“项目名称”比选文件（项目编号：系统生成），决定参加贵单位组织的本项目比选采购。</w:t>
      </w:r>
    </w:p>
    <w:p w14:paraId="6A7D3813">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14:paraId="569C0D40">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14:paraId="668C6975">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14:paraId="3A2B0F9F">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14:paraId="10349FDE">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14:paraId="67AAF3CA">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14:paraId="063A38C1">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14:paraId="0FEA5BB7">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14:paraId="4839B0A0">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14:paraId="0C9A849D">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14:paraId="7909880F">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14:paraId="6BBEF510">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14:paraId="48A5DB83">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14:paraId="2B29B7B8">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14:paraId="422DA348">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14:paraId="6570A0EC">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14:paraId="09F2CB71">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14:paraId="151C96AF">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14:paraId="09F7D0CF">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5CCE5C7D">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14:paraId="6F55C656">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14:paraId="453A99A3">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14:paraId="3AF0AC46">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14:paraId="192128A8">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14:paraId="5AFEA063">
      <w:pPr>
        <w:pStyle w:val="5"/>
        <w:spacing w:line="312" w:lineRule="auto"/>
        <w:rPr>
          <w:rFonts w:ascii="宋体" w:hAnsi="宋体" w:eastAsia="宋体"/>
        </w:rPr>
      </w:pPr>
    </w:p>
    <w:p w14:paraId="1B98BC11">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14:paraId="716624C3">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14:paraId="38056BB7">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14:paraId="3319870F">
      <w:pPr>
        <w:rPr>
          <w:rFonts w:ascii="宋体" w:hAnsi="宋体" w:eastAsia="宋体"/>
        </w:rPr>
      </w:pPr>
      <w:r>
        <w:rPr>
          <w:rFonts w:ascii="宋体" w:hAnsi="宋体" w:eastAsia="宋体"/>
        </w:rPr>
        <w:br w:type="page"/>
      </w:r>
    </w:p>
    <w:p w14:paraId="09E27381">
      <w:pPr>
        <w:pStyle w:val="3"/>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2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14:paraId="5DDD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67C33FEE">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14:paraId="19B1C700">
            <w:pPr>
              <w:autoSpaceDE w:val="0"/>
              <w:autoSpaceDN w:val="0"/>
              <w:adjustRightInd w:val="0"/>
              <w:jc w:val="center"/>
              <w:rPr>
                <w:rFonts w:ascii="宋体" w:hAnsi="宋体" w:eastAsia="宋体"/>
                <w:szCs w:val="21"/>
              </w:rPr>
            </w:pPr>
          </w:p>
        </w:tc>
      </w:tr>
      <w:tr w14:paraId="153E7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7359094C">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14:paraId="629D37B1">
            <w:pPr>
              <w:autoSpaceDE w:val="0"/>
              <w:autoSpaceDN w:val="0"/>
              <w:adjustRightInd w:val="0"/>
              <w:jc w:val="center"/>
              <w:rPr>
                <w:rFonts w:ascii="宋体" w:hAnsi="宋体" w:eastAsia="宋体"/>
                <w:szCs w:val="21"/>
              </w:rPr>
            </w:pPr>
          </w:p>
        </w:tc>
        <w:tc>
          <w:tcPr>
            <w:tcW w:w="1325" w:type="dxa"/>
            <w:vAlign w:val="center"/>
          </w:tcPr>
          <w:p w14:paraId="21CF4D6F">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14:paraId="3A9DDDA3">
            <w:pPr>
              <w:autoSpaceDE w:val="0"/>
              <w:autoSpaceDN w:val="0"/>
              <w:adjustRightInd w:val="0"/>
              <w:jc w:val="center"/>
              <w:rPr>
                <w:rFonts w:ascii="宋体" w:hAnsi="宋体" w:eastAsia="宋体"/>
                <w:szCs w:val="21"/>
              </w:rPr>
            </w:pPr>
          </w:p>
        </w:tc>
      </w:tr>
      <w:tr w14:paraId="6FE0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14:paraId="7F364CEE">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14:paraId="2E23CF54">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14:paraId="5EF87FB4">
            <w:pPr>
              <w:autoSpaceDE w:val="0"/>
              <w:autoSpaceDN w:val="0"/>
              <w:adjustRightInd w:val="0"/>
              <w:jc w:val="center"/>
              <w:rPr>
                <w:rFonts w:ascii="宋体" w:hAnsi="宋体" w:eastAsia="宋体"/>
                <w:szCs w:val="21"/>
              </w:rPr>
            </w:pPr>
          </w:p>
        </w:tc>
        <w:tc>
          <w:tcPr>
            <w:tcW w:w="1332" w:type="dxa"/>
            <w:gridSpan w:val="2"/>
            <w:vAlign w:val="center"/>
          </w:tcPr>
          <w:p w14:paraId="586AD253">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14:paraId="40D20BE2">
            <w:pPr>
              <w:autoSpaceDE w:val="0"/>
              <w:autoSpaceDN w:val="0"/>
              <w:adjustRightInd w:val="0"/>
              <w:jc w:val="center"/>
              <w:rPr>
                <w:rFonts w:ascii="宋体" w:hAnsi="宋体" w:eastAsia="宋体"/>
                <w:szCs w:val="21"/>
              </w:rPr>
            </w:pPr>
          </w:p>
        </w:tc>
      </w:tr>
      <w:tr w14:paraId="713B8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14:paraId="62EA4BCA">
            <w:pPr>
              <w:autoSpaceDE w:val="0"/>
              <w:autoSpaceDN w:val="0"/>
              <w:adjustRightInd w:val="0"/>
              <w:jc w:val="center"/>
              <w:rPr>
                <w:rFonts w:ascii="宋体" w:hAnsi="宋体" w:eastAsia="宋体"/>
                <w:szCs w:val="21"/>
              </w:rPr>
            </w:pPr>
          </w:p>
        </w:tc>
        <w:tc>
          <w:tcPr>
            <w:tcW w:w="925" w:type="dxa"/>
            <w:gridSpan w:val="2"/>
            <w:vAlign w:val="center"/>
          </w:tcPr>
          <w:p w14:paraId="25913D88">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14:paraId="1C75C41F">
            <w:pPr>
              <w:autoSpaceDE w:val="0"/>
              <w:autoSpaceDN w:val="0"/>
              <w:adjustRightInd w:val="0"/>
              <w:jc w:val="center"/>
              <w:rPr>
                <w:rFonts w:ascii="宋体" w:hAnsi="宋体" w:eastAsia="宋体"/>
                <w:szCs w:val="21"/>
              </w:rPr>
            </w:pPr>
          </w:p>
        </w:tc>
        <w:tc>
          <w:tcPr>
            <w:tcW w:w="1332" w:type="dxa"/>
            <w:gridSpan w:val="2"/>
            <w:vAlign w:val="center"/>
          </w:tcPr>
          <w:p w14:paraId="47510A8F">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14:paraId="13857DFC">
            <w:pPr>
              <w:autoSpaceDE w:val="0"/>
              <w:autoSpaceDN w:val="0"/>
              <w:adjustRightInd w:val="0"/>
              <w:jc w:val="center"/>
              <w:rPr>
                <w:rFonts w:ascii="宋体" w:hAnsi="宋体" w:eastAsia="宋体"/>
                <w:szCs w:val="21"/>
              </w:rPr>
            </w:pPr>
          </w:p>
        </w:tc>
      </w:tr>
      <w:tr w14:paraId="7D3C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CA24F62">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14:paraId="15989803">
            <w:pPr>
              <w:autoSpaceDE w:val="0"/>
              <w:autoSpaceDN w:val="0"/>
              <w:adjustRightInd w:val="0"/>
              <w:jc w:val="center"/>
              <w:rPr>
                <w:rFonts w:ascii="宋体" w:hAnsi="宋体" w:eastAsia="宋体"/>
                <w:szCs w:val="21"/>
              </w:rPr>
            </w:pPr>
          </w:p>
        </w:tc>
      </w:tr>
      <w:tr w14:paraId="10878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DE6C229">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14:paraId="12EF83FC">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12705A0A">
            <w:pPr>
              <w:autoSpaceDE w:val="0"/>
              <w:autoSpaceDN w:val="0"/>
              <w:adjustRightInd w:val="0"/>
              <w:jc w:val="center"/>
              <w:rPr>
                <w:rFonts w:ascii="宋体" w:hAnsi="宋体" w:eastAsia="宋体"/>
                <w:szCs w:val="21"/>
              </w:rPr>
            </w:pPr>
          </w:p>
        </w:tc>
        <w:tc>
          <w:tcPr>
            <w:tcW w:w="1255" w:type="dxa"/>
            <w:vAlign w:val="center"/>
          </w:tcPr>
          <w:p w14:paraId="2F3D085F">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688E4AA6">
            <w:pPr>
              <w:autoSpaceDE w:val="0"/>
              <w:autoSpaceDN w:val="0"/>
              <w:adjustRightInd w:val="0"/>
              <w:jc w:val="center"/>
              <w:rPr>
                <w:rFonts w:ascii="宋体" w:hAnsi="宋体" w:eastAsia="宋体"/>
                <w:szCs w:val="21"/>
              </w:rPr>
            </w:pPr>
          </w:p>
        </w:tc>
        <w:tc>
          <w:tcPr>
            <w:tcW w:w="1178" w:type="dxa"/>
            <w:gridSpan w:val="2"/>
            <w:vAlign w:val="center"/>
          </w:tcPr>
          <w:p w14:paraId="7A1EB681">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58593D19">
            <w:pPr>
              <w:autoSpaceDE w:val="0"/>
              <w:autoSpaceDN w:val="0"/>
              <w:adjustRightInd w:val="0"/>
              <w:jc w:val="center"/>
              <w:rPr>
                <w:rFonts w:ascii="宋体" w:hAnsi="宋体" w:eastAsia="宋体"/>
                <w:b/>
                <w:bCs/>
                <w:szCs w:val="21"/>
              </w:rPr>
            </w:pPr>
          </w:p>
        </w:tc>
      </w:tr>
      <w:tr w14:paraId="53A9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5A9843AB">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14:paraId="22F09582">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14:paraId="7025EED4">
            <w:pPr>
              <w:autoSpaceDE w:val="0"/>
              <w:autoSpaceDN w:val="0"/>
              <w:adjustRightInd w:val="0"/>
              <w:jc w:val="center"/>
              <w:rPr>
                <w:rFonts w:ascii="宋体" w:hAnsi="宋体" w:eastAsia="宋体"/>
                <w:szCs w:val="21"/>
              </w:rPr>
            </w:pPr>
          </w:p>
        </w:tc>
        <w:tc>
          <w:tcPr>
            <w:tcW w:w="1255" w:type="dxa"/>
            <w:vAlign w:val="center"/>
          </w:tcPr>
          <w:p w14:paraId="5DD49AD3">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14:paraId="1AF7D3D2">
            <w:pPr>
              <w:autoSpaceDE w:val="0"/>
              <w:autoSpaceDN w:val="0"/>
              <w:adjustRightInd w:val="0"/>
              <w:jc w:val="center"/>
              <w:rPr>
                <w:rFonts w:ascii="宋体" w:hAnsi="宋体" w:eastAsia="宋体"/>
                <w:szCs w:val="21"/>
              </w:rPr>
            </w:pPr>
          </w:p>
        </w:tc>
        <w:tc>
          <w:tcPr>
            <w:tcW w:w="1178" w:type="dxa"/>
            <w:gridSpan w:val="2"/>
            <w:vAlign w:val="center"/>
          </w:tcPr>
          <w:p w14:paraId="393315D4">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14:paraId="412DCDE4">
            <w:pPr>
              <w:autoSpaceDE w:val="0"/>
              <w:autoSpaceDN w:val="0"/>
              <w:adjustRightInd w:val="0"/>
              <w:jc w:val="center"/>
              <w:rPr>
                <w:rFonts w:ascii="宋体" w:hAnsi="宋体" w:eastAsia="宋体"/>
                <w:b/>
                <w:bCs/>
                <w:szCs w:val="21"/>
              </w:rPr>
            </w:pPr>
          </w:p>
        </w:tc>
      </w:tr>
      <w:tr w14:paraId="242D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7E949735">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14:paraId="4E8C914A">
            <w:pPr>
              <w:autoSpaceDE w:val="0"/>
              <w:autoSpaceDN w:val="0"/>
              <w:adjustRightInd w:val="0"/>
              <w:jc w:val="center"/>
              <w:rPr>
                <w:rFonts w:ascii="宋体" w:hAnsi="宋体" w:eastAsia="宋体"/>
                <w:szCs w:val="21"/>
              </w:rPr>
            </w:pPr>
          </w:p>
        </w:tc>
        <w:tc>
          <w:tcPr>
            <w:tcW w:w="4841" w:type="dxa"/>
            <w:gridSpan w:val="6"/>
            <w:vAlign w:val="center"/>
          </w:tcPr>
          <w:p w14:paraId="7C8CF194">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14:paraId="51B7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25851FCE">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14:paraId="71E5C64C">
            <w:pPr>
              <w:autoSpaceDE w:val="0"/>
              <w:autoSpaceDN w:val="0"/>
              <w:adjustRightInd w:val="0"/>
              <w:jc w:val="center"/>
              <w:rPr>
                <w:rFonts w:ascii="宋体" w:hAnsi="宋体" w:eastAsia="宋体"/>
                <w:szCs w:val="21"/>
              </w:rPr>
            </w:pPr>
          </w:p>
        </w:tc>
        <w:tc>
          <w:tcPr>
            <w:tcW w:w="1255" w:type="dxa"/>
            <w:vMerge w:val="restart"/>
            <w:vAlign w:val="center"/>
          </w:tcPr>
          <w:p w14:paraId="2BCBC748">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14:paraId="0A7A50FA">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14:paraId="0D185B05">
            <w:pPr>
              <w:autoSpaceDE w:val="0"/>
              <w:autoSpaceDN w:val="0"/>
              <w:adjustRightInd w:val="0"/>
              <w:jc w:val="center"/>
              <w:rPr>
                <w:rFonts w:ascii="宋体" w:hAnsi="宋体" w:eastAsia="宋体"/>
                <w:b/>
                <w:bCs/>
                <w:szCs w:val="21"/>
              </w:rPr>
            </w:pPr>
          </w:p>
        </w:tc>
      </w:tr>
      <w:tr w14:paraId="58B78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22F25ECB">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14:paraId="2C849CD5">
            <w:pPr>
              <w:autoSpaceDE w:val="0"/>
              <w:autoSpaceDN w:val="0"/>
              <w:adjustRightInd w:val="0"/>
              <w:jc w:val="center"/>
              <w:rPr>
                <w:rFonts w:ascii="宋体" w:hAnsi="宋体" w:eastAsia="宋体"/>
                <w:szCs w:val="21"/>
              </w:rPr>
            </w:pPr>
          </w:p>
        </w:tc>
        <w:tc>
          <w:tcPr>
            <w:tcW w:w="1255" w:type="dxa"/>
            <w:vMerge w:val="continue"/>
            <w:vAlign w:val="center"/>
          </w:tcPr>
          <w:p w14:paraId="0FE2D843">
            <w:pPr>
              <w:autoSpaceDE w:val="0"/>
              <w:autoSpaceDN w:val="0"/>
              <w:adjustRightInd w:val="0"/>
              <w:jc w:val="center"/>
              <w:rPr>
                <w:rFonts w:ascii="宋体" w:hAnsi="宋体" w:eastAsia="宋体"/>
                <w:szCs w:val="21"/>
              </w:rPr>
            </w:pPr>
          </w:p>
        </w:tc>
        <w:tc>
          <w:tcPr>
            <w:tcW w:w="1493" w:type="dxa"/>
            <w:gridSpan w:val="3"/>
            <w:vAlign w:val="center"/>
          </w:tcPr>
          <w:p w14:paraId="2BFA5CAC">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14:paraId="477F58E0">
            <w:pPr>
              <w:autoSpaceDE w:val="0"/>
              <w:autoSpaceDN w:val="0"/>
              <w:adjustRightInd w:val="0"/>
              <w:jc w:val="center"/>
              <w:rPr>
                <w:rFonts w:ascii="宋体" w:hAnsi="宋体" w:eastAsia="宋体"/>
                <w:b/>
                <w:bCs/>
                <w:szCs w:val="21"/>
              </w:rPr>
            </w:pPr>
          </w:p>
        </w:tc>
      </w:tr>
      <w:tr w14:paraId="5A9D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67017B9C">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14:paraId="25D69734">
            <w:pPr>
              <w:autoSpaceDE w:val="0"/>
              <w:autoSpaceDN w:val="0"/>
              <w:adjustRightInd w:val="0"/>
              <w:jc w:val="center"/>
              <w:rPr>
                <w:rFonts w:ascii="宋体" w:hAnsi="宋体" w:eastAsia="宋体"/>
                <w:szCs w:val="21"/>
              </w:rPr>
            </w:pPr>
          </w:p>
        </w:tc>
        <w:tc>
          <w:tcPr>
            <w:tcW w:w="1255" w:type="dxa"/>
            <w:vMerge w:val="continue"/>
            <w:vAlign w:val="center"/>
          </w:tcPr>
          <w:p w14:paraId="692CB9BB">
            <w:pPr>
              <w:autoSpaceDE w:val="0"/>
              <w:autoSpaceDN w:val="0"/>
              <w:adjustRightInd w:val="0"/>
              <w:jc w:val="center"/>
              <w:rPr>
                <w:rFonts w:ascii="宋体" w:hAnsi="宋体" w:eastAsia="宋体"/>
                <w:szCs w:val="21"/>
              </w:rPr>
            </w:pPr>
          </w:p>
        </w:tc>
        <w:tc>
          <w:tcPr>
            <w:tcW w:w="1493" w:type="dxa"/>
            <w:gridSpan w:val="3"/>
            <w:vAlign w:val="center"/>
          </w:tcPr>
          <w:p w14:paraId="7DDC8992">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14:paraId="1298A02E">
            <w:pPr>
              <w:autoSpaceDE w:val="0"/>
              <w:autoSpaceDN w:val="0"/>
              <w:adjustRightInd w:val="0"/>
              <w:jc w:val="center"/>
              <w:rPr>
                <w:rFonts w:ascii="宋体" w:hAnsi="宋体" w:eastAsia="宋体"/>
                <w:b/>
                <w:bCs/>
                <w:szCs w:val="21"/>
              </w:rPr>
            </w:pPr>
          </w:p>
        </w:tc>
      </w:tr>
      <w:tr w14:paraId="0D44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14:paraId="40EB5D46">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14:paraId="5080D655">
            <w:pPr>
              <w:autoSpaceDE w:val="0"/>
              <w:autoSpaceDN w:val="0"/>
              <w:adjustRightInd w:val="0"/>
              <w:jc w:val="center"/>
              <w:rPr>
                <w:rFonts w:ascii="宋体" w:hAnsi="宋体" w:eastAsia="宋体"/>
                <w:szCs w:val="21"/>
              </w:rPr>
            </w:pPr>
          </w:p>
        </w:tc>
        <w:tc>
          <w:tcPr>
            <w:tcW w:w="1255" w:type="dxa"/>
            <w:vMerge w:val="continue"/>
            <w:vAlign w:val="center"/>
          </w:tcPr>
          <w:p w14:paraId="7D537E28">
            <w:pPr>
              <w:autoSpaceDE w:val="0"/>
              <w:autoSpaceDN w:val="0"/>
              <w:adjustRightInd w:val="0"/>
              <w:jc w:val="center"/>
              <w:rPr>
                <w:rFonts w:ascii="宋体" w:hAnsi="宋体" w:eastAsia="宋体"/>
                <w:szCs w:val="21"/>
              </w:rPr>
            </w:pPr>
          </w:p>
        </w:tc>
        <w:tc>
          <w:tcPr>
            <w:tcW w:w="1493" w:type="dxa"/>
            <w:gridSpan w:val="3"/>
            <w:vAlign w:val="center"/>
          </w:tcPr>
          <w:p w14:paraId="116AF331">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14:paraId="3835EF66">
            <w:pPr>
              <w:autoSpaceDE w:val="0"/>
              <w:autoSpaceDN w:val="0"/>
              <w:adjustRightInd w:val="0"/>
              <w:jc w:val="center"/>
              <w:rPr>
                <w:rFonts w:ascii="宋体" w:hAnsi="宋体" w:eastAsia="宋体"/>
                <w:b/>
                <w:bCs/>
                <w:szCs w:val="21"/>
              </w:rPr>
            </w:pPr>
          </w:p>
        </w:tc>
      </w:tr>
      <w:tr w14:paraId="7184A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14:paraId="55102D52">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14:paraId="04DF7DA8">
            <w:pPr>
              <w:autoSpaceDE w:val="0"/>
              <w:autoSpaceDN w:val="0"/>
              <w:adjustRightInd w:val="0"/>
              <w:jc w:val="center"/>
              <w:rPr>
                <w:rFonts w:ascii="宋体" w:hAnsi="宋体" w:eastAsia="宋体"/>
                <w:szCs w:val="21"/>
              </w:rPr>
            </w:pPr>
          </w:p>
        </w:tc>
        <w:tc>
          <w:tcPr>
            <w:tcW w:w="1255" w:type="dxa"/>
            <w:vMerge w:val="continue"/>
            <w:vAlign w:val="center"/>
          </w:tcPr>
          <w:p w14:paraId="2A86B7B6">
            <w:pPr>
              <w:autoSpaceDE w:val="0"/>
              <w:autoSpaceDN w:val="0"/>
              <w:adjustRightInd w:val="0"/>
              <w:jc w:val="center"/>
              <w:rPr>
                <w:rFonts w:ascii="宋体" w:hAnsi="宋体" w:eastAsia="宋体"/>
                <w:szCs w:val="21"/>
              </w:rPr>
            </w:pPr>
          </w:p>
        </w:tc>
        <w:tc>
          <w:tcPr>
            <w:tcW w:w="1493" w:type="dxa"/>
            <w:gridSpan w:val="3"/>
            <w:vAlign w:val="center"/>
          </w:tcPr>
          <w:p w14:paraId="0E5CC20F">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14:paraId="21DE4890">
            <w:pPr>
              <w:autoSpaceDE w:val="0"/>
              <w:autoSpaceDN w:val="0"/>
              <w:adjustRightInd w:val="0"/>
              <w:jc w:val="center"/>
              <w:rPr>
                <w:rFonts w:ascii="宋体" w:hAnsi="宋体" w:eastAsia="宋体"/>
                <w:b/>
                <w:bCs/>
                <w:szCs w:val="21"/>
              </w:rPr>
            </w:pPr>
          </w:p>
        </w:tc>
      </w:tr>
      <w:tr w14:paraId="78D6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14:paraId="129F0D0B">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14:paraId="265541B6">
            <w:pPr>
              <w:autoSpaceDE w:val="0"/>
              <w:autoSpaceDN w:val="0"/>
              <w:adjustRightInd w:val="0"/>
              <w:rPr>
                <w:rFonts w:ascii="宋体" w:hAnsi="宋体" w:eastAsia="宋体"/>
                <w:b/>
                <w:bCs/>
                <w:szCs w:val="21"/>
              </w:rPr>
            </w:pPr>
          </w:p>
        </w:tc>
      </w:tr>
      <w:tr w14:paraId="60201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14:paraId="5F7835FF">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14:paraId="6C182207">
            <w:pPr>
              <w:autoSpaceDE w:val="0"/>
              <w:autoSpaceDN w:val="0"/>
              <w:adjustRightInd w:val="0"/>
              <w:jc w:val="left"/>
              <w:rPr>
                <w:rFonts w:ascii="宋体" w:hAnsi="宋体" w:eastAsia="宋体"/>
                <w:szCs w:val="21"/>
              </w:rPr>
            </w:pPr>
          </w:p>
        </w:tc>
      </w:tr>
    </w:tbl>
    <w:p w14:paraId="1E397D2A">
      <w:pPr>
        <w:adjustRightInd w:val="0"/>
        <w:spacing w:line="400" w:lineRule="exact"/>
        <w:ind w:firstLine="420" w:firstLineChars="175"/>
        <w:jc w:val="left"/>
        <w:rPr>
          <w:rFonts w:ascii="宋体" w:hAnsi="宋体" w:eastAsia="宋体"/>
          <w:sz w:val="24"/>
        </w:rPr>
      </w:pPr>
    </w:p>
    <w:p w14:paraId="352B029F">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14:paraId="7A378240">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14:paraId="3D9E0076">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14:paraId="727C5EF6">
      <w:pPr>
        <w:rPr>
          <w:rFonts w:ascii="宋体" w:hAnsi="宋体" w:eastAsia="宋体"/>
        </w:rPr>
      </w:pPr>
      <w:r>
        <w:rPr>
          <w:rFonts w:ascii="宋体" w:hAnsi="宋体" w:eastAsia="宋体"/>
        </w:rPr>
        <w:br w:type="page"/>
      </w:r>
    </w:p>
    <w:p w14:paraId="021E4F78">
      <w:pPr>
        <w:pStyle w:val="3"/>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14:paraId="74E80876">
      <w:pPr>
        <w:spacing w:line="400" w:lineRule="exact"/>
        <w:rPr>
          <w:rFonts w:ascii="宋体" w:hAnsi="宋体" w:eastAsia="宋体" w:cs="Arial"/>
          <w:sz w:val="24"/>
        </w:rPr>
      </w:pPr>
    </w:p>
    <w:tbl>
      <w:tblPr>
        <w:tblStyle w:val="23"/>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14:paraId="0FE5FA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14:paraId="5180544A">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14:paraId="3943E323">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14:paraId="5B5698E5">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14:paraId="4E8CEAD3">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14:paraId="33FA06B2">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14:paraId="4671BA76">
            <w:pPr>
              <w:spacing w:line="400" w:lineRule="exact"/>
              <w:jc w:val="center"/>
              <w:rPr>
                <w:rFonts w:ascii="宋体" w:hAnsi="宋体" w:eastAsia="宋体" w:cs="Arial"/>
                <w:b/>
                <w:sz w:val="22"/>
              </w:rPr>
            </w:pPr>
            <w:r>
              <w:rPr>
                <w:rFonts w:hint="eastAsia" w:ascii="宋体" w:hAnsi="宋体" w:eastAsia="宋体" w:cs="Arial"/>
                <w:b/>
                <w:sz w:val="22"/>
              </w:rPr>
              <w:t>备注</w:t>
            </w:r>
          </w:p>
        </w:tc>
      </w:tr>
      <w:tr w14:paraId="006FB4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A30917D">
            <w:pPr>
              <w:spacing w:line="400" w:lineRule="exact"/>
              <w:jc w:val="center"/>
              <w:rPr>
                <w:rFonts w:ascii="宋体" w:hAnsi="宋体" w:eastAsia="宋体" w:cs="Arial"/>
              </w:rPr>
            </w:pPr>
          </w:p>
        </w:tc>
        <w:tc>
          <w:tcPr>
            <w:tcW w:w="1681" w:type="dxa"/>
            <w:vAlign w:val="center"/>
          </w:tcPr>
          <w:p w14:paraId="57E6D107">
            <w:pPr>
              <w:spacing w:line="400" w:lineRule="exact"/>
              <w:jc w:val="center"/>
              <w:rPr>
                <w:rFonts w:ascii="宋体" w:hAnsi="宋体" w:eastAsia="宋体" w:cs="Arial"/>
              </w:rPr>
            </w:pPr>
          </w:p>
        </w:tc>
        <w:tc>
          <w:tcPr>
            <w:tcW w:w="1541" w:type="dxa"/>
            <w:vAlign w:val="center"/>
          </w:tcPr>
          <w:p w14:paraId="6F5DA234">
            <w:pPr>
              <w:spacing w:line="400" w:lineRule="exact"/>
              <w:jc w:val="center"/>
              <w:rPr>
                <w:rFonts w:ascii="宋体" w:hAnsi="宋体" w:eastAsia="宋体" w:cs="Arial"/>
              </w:rPr>
            </w:pPr>
          </w:p>
        </w:tc>
        <w:tc>
          <w:tcPr>
            <w:tcW w:w="1519" w:type="dxa"/>
            <w:vAlign w:val="center"/>
          </w:tcPr>
          <w:p w14:paraId="5365248C">
            <w:pPr>
              <w:spacing w:line="400" w:lineRule="exact"/>
              <w:jc w:val="center"/>
              <w:rPr>
                <w:rFonts w:ascii="宋体" w:hAnsi="宋体" w:eastAsia="宋体" w:cs="Arial"/>
              </w:rPr>
            </w:pPr>
          </w:p>
        </w:tc>
        <w:tc>
          <w:tcPr>
            <w:tcW w:w="1559" w:type="dxa"/>
            <w:vAlign w:val="center"/>
          </w:tcPr>
          <w:p w14:paraId="2DE3615C">
            <w:pPr>
              <w:spacing w:line="400" w:lineRule="exact"/>
              <w:jc w:val="center"/>
              <w:rPr>
                <w:rFonts w:ascii="宋体" w:hAnsi="宋体" w:eastAsia="宋体" w:cs="Arial"/>
              </w:rPr>
            </w:pPr>
          </w:p>
        </w:tc>
        <w:tc>
          <w:tcPr>
            <w:tcW w:w="1272" w:type="dxa"/>
            <w:tcBorders>
              <w:left w:val="single" w:color="auto" w:sz="4" w:space="0"/>
            </w:tcBorders>
            <w:vAlign w:val="center"/>
          </w:tcPr>
          <w:p w14:paraId="2B684406">
            <w:pPr>
              <w:spacing w:line="400" w:lineRule="exact"/>
              <w:jc w:val="center"/>
              <w:rPr>
                <w:rFonts w:ascii="宋体" w:hAnsi="宋体" w:eastAsia="宋体" w:cs="Arial"/>
              </w:rPr>
            </w:pPr>
          </w:p>
        </w:tc>
      </w:tr>
      <w:tr w14:paraId="68E462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3A98483">
            <w:pPr>
              <w:spacing w:line="400" w:lineRule="exact"/>
              <w:jc w:val="center"/>
              <w:rPr>
                <w:rFonts w:ascii="宋体" w:hAnsi="宋体" w:eastAsia="宋体" w:cs="Arial"/>
              </w:rPr>
            </w:pPr>
          </w:p>
        </w:tc>
        <w:tc>
          <w:tcPr>
            <w:tcW w:w="1681" w:type="dxa"/>
            <w:vAlign w:val="center"/>
          </w:tcPr>
          <w:p w14:paraId="3DD2F62C">
            <w:pPr>
              <w:spacing w:line="400" w:lineRule="exact"/>
              <w:jc w:val="center"/>
              <w:rPr>
                <w:rFonts w:ascii="宋体" w:hAnsi="宋体" w:eastAsia="宋体" w:cs="Arial"/>
              </w:rPr>
            </w:pPr>
          </w:p>
        </w:tc>
        <w:tc>
          <w:tcPr>
            <w:tcW w:w="1541" w:type="dxa"/>
            <w:vAlign w:val="center"/>
          </w:tcPr>
          <w:p w14:paraId="66AA5C97">
            <w:pPr>
              <w:spacing w:line="400" w:lineRule="exact"/>
              <w:jc w:val="center"/>
              <w:rPr>
                <w:rFonts w:ascii="宋体" w:hAnsi="宋体" w:eastAsia="宋体" w:cs="Arial"/>
              </w:rPr>
            </w:pPr>
          </w:p>
        </w:tc>
        <w:tc>
          <w:tcPr>
            <w:tcW w:w="1519" w:type="dxa"/>
            <w:vAlign w:val="center"/>
          </w:tcPr>
          <w:p w14:paraId="0CCB9888">
            <w:pPr>
              <w:spacing w:line="400" w:lineRule="exact"/>
              <w:jc w:val="center"/>
              <w:rPr>
                <w:rFonts w:ascii="宋体" w:hAnsi="宋体" w:eastAsia="宋体" w:cs="Arial"/>
              </w:rPr>
            </w:pPr>
          </w:p>
        </w:tc>
        <w:tc>
          <w:tcPr>
            <w:tcW w:w="1559" w:type="dxa"/>
            <w:vAlign w:val="center"/>
          </w:tcPr>
          <w:p w14:paraId="248C151A">
            <w:pPr>
              <w:spacing w:line="400" w:lineRule="exact"/>
              <w:jc w:val="center"/>
              <w:rPr>
                <w:rFonts w:ascii="宋体" w:hAnsi="宋体" w:eastAsia="宋体" w:cs="Arial"/>
              </w:rPr>
            </w:pPr>
          </w:p>
        </w:tc>
        <w:tc>
          <w:tcPr>
            <w:tcW w:w="1272" w:type="dxa"/>
            <w:tcBorders>
              <w:left w:val="single" w:color="auto" w:sz="4" w:space="0"/>
            </w:tcBorders>
            <w:vAlign w:val="center"/>
          </w:tcPr>
          <w:p w14:paraId="088182A9">
            <w:pPr>
              <w:spacing w:line="400" w:lineRule="exact"/>
              <w:jc w:val="center"/>
              <w:rPr>
                <w:rFonts w:ascii="宋体" w:hAnsi="宋体" w:eastAsia="宋体" w:cs="Arial"/>
              </w:rPr>
            </w:pPr>
          </w:p>
        </w:tc>
      </w:tr>
      <w:tr w14:paraId="66C55E3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5F92C071">
            <w:pPr>
              <w:spacing w:line="400" w:lineRule="exact"/>
              <w:jc w:val="center"/>
              <w:rPr>
                <w:rFonts w:ascii="宋体" w:hAnsi="宋体" w:eastAsia="宋体" w:cs="Arial"/>
              </w:rPr>
            </w:pPr>
          </w:p>
        </w:tc>
        <w:tc>
          <w:tcPr>
            <w:tcW w:w="1681" w:type="dxa"/>
            <w:vAlign w:val="center"/>
          </w:tcPr>
          <w:p w14:paraId="2E52BEAF">
            <w:pPr>
              <w:spacing w:line="400" w:lineRule="exact"/>
              <w:jc w:val="center"/>
              <w:rPr>
                <w:rFonts w:ascii="宋体" w:hAnsi="宋体" w:eastAsia="宋体" w:cs="Arial"/>
              </w:rPr>
            </w:pPr>
          </w:p>
        </w:tc>
        <w:tc>
          <w:tcPr>
            <w:tcW w:w="1541" w:type="dxa"/>
            <w:vAlign w:val="center"/>
          </w:tcPr>
          <w:p w14:paraId="7DC54BC0">
            <w:pPr>
              <w:spacing w:line="400" w:lineRule="exact"/>
              <w:jc w:val="center"/>
              <w:rPr>
                <w:rFonts w:ascii="宋体" w:hAnsi="宋体" w:eastAsia="宋体" w:cs="Arial"/>
              </w:rPr>
            </w:pPr>
          </w:p>
        </w:tc>
        <w:tc>
          <w:tcPr>
            <w:tcW w:w="1519" w:type="dxa"/>
            <w:vAlign w:val="center"/>
          </w:tcPr>
          <w:p w14:paraId="41C5EED1">
            <w:pPr>
              <w:spacing w:line="400" w:lineRule="exact"/>
              <w:jc w:val="center"/>
              <w:rPr>
                <w:rFonts w:ascii="宋体" w:hAnsi="宋体" w:eastAsia="宋体" w:cs="Arial"/>
              </w:rPr>
            </w:pPr>
          </w:p>
        </w:tc>
        <w:tc>
          <w:tcPr>
            <w:tcW w:w="1559" w:type="dxa"/>
            <w:vAlign w:val="center"/>
          </w:tcPr>
          <w:p w14:paraId="440D21B9">
            <w:pPr>
              <w:spacing w:line="400" w:lineRule="exact"/>
              <w:jc w:val="center"/>
              <w:rPr>
                <w:rFonts w:ascii="宋体" w:hAnsi="宋体" w:eastAsia="宋体" w:cs="Arial"/>
              </w:rPr>
            </w:pPr>
          </w:p>
        </w:tc>
        <w:tc>
          <w:tcPr>
            <w:tcW w:w="1272" w:type="dxa"/>
            <w:tcBorders>
              <w:left w:val="single" w:color="auto" w:sz="4" w:space="0"/>
            </w:tcBorders>
            <w:vAlign w:val="center"/>
          </w:tcPr>
          <w:p w14:paraId="674BD104">
            <w:pPr>
              <w:spacing w:line="400" w:lineRule="exact"/>
              <w:jc w:val="center"/>
              <w:rPr>
                <w:rFonts w:ascii="宋体" w:hAnsi="宋体" w:eastAsia="宋体" w:cs="Arial"/>
              </w:rPr>
            </w:pPr>
          </w:p>
        </w:tc>
      </w:tr>
      <w:tr w14:paraId="1FA55A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CE09CC6">
            <w:pPr>
              <w:spacing w:line="400" w:lineRule="exact"/>
              <w:jc w:val="center"/>
              <w:rPr>
                <w:rFonts w:ascii="宋体" w:hAnsi="宋体" w:eastAsia="宋体" w:cs="Arial"/>
              </w:rPr>
            </w:pPr>
          </w:p>
        </w:tc>
        <w:tc>
          <w:tcPr>
            <w:tcW w:w="1681" w:type="dxa"/>
            <w:tcBorders>
              <w:right w:val="single" w:color="auto" w:sz="4" w:space="0"/>
            </w:tcBorders>
            <w:vAlign w:val="center"/>
          </w:tcPr>
          <w:p w14:paraId="0F11D234">
            <w:pPr>
              <w:spacing w:line="400" w:lineRule="exact"/>
              <w:jc w:val="center"/>
              <w:rPr>
                <w:rFonts w:ascii="宋体" w:hAnsi="宋体" w:eastAsia="宋体" w:cs="Arial"/>
              </w:rPr>
            </w:pPr>
          </w:p>
        </w:tc>
        <w:tc>
          <w:tcPr>
            <w:tcW w:w="1541" w:type="dxa"/>
            <w:tcBorders>
              <w:left w:val="single" w:color="auto" w:sz="4" w:space="0"/>
            </w:tcBorders>
            <w:vAlign w:val="center"/>
          </w:tcPr>
          <w:p w14:paraId="2E30BB26">
            <w:pPr>
              <w:spacing w:line="400" w:lineRule="exact"/>
              <w:jc w:val="center"/>
              <w:rPr>
                <w:rFonts w:ascii="宋体" w:hAnsi="宋体" w:eastAsia="宋体" w:cs="Arial"/>
              </w:rPr>
            </w:pPr>
          </w:p>
        </w:tc>
        <w:tc>
          <w:tcPr>
            <w:tcW w:w="1519" w:type="dxa"/>
            <w:vAlign w:val="center"/>
          </w:tcPr>
          <w:p w14:paraId="00D12655">
            <w:pPr>
              <w:spacing w:line="400" w:lineRule="exact"/>
              <w:jc w:val="center"/>
              <w:rPr>
                <w:rFonts w:ascii="宋体" w:hAnsi="宋体" w:eastAsia="宋体" w:cs="Arial"/>
              </w:rPr>
            </w:pPr>
          </w:p>
        </w:tc>
        <w:tc>
          <w:tcPr>
            <w:tcW w:w="1559" w:type="dxa"/>
            <w:vAlign w:val="center"/>
          </w:tcPr>
          <w:p w14:paraId="03DAE0A1">
            <w:pPr>
              <w:spacing w:line="400" w:lineRule="exact"/>
              <w:jc w:val="center"/>
              <w:rPr>
                <w:rFonts w:ascii="宋体" w:hAnsi="宋体" w:eastAsia="宋体" w:cs="Arial"/>
              </w:rPr>
            </w:pPr>
          </w:p>
        </w:tc>
        <w:tc>
          <w:tcPr>
            <w:tcW w:w="1272" w:type="dxa"/>
            <w:tcBorders>
              <w:left w:val="single" w:color="auto" w:sz="4" w:space="0"/>
            </w:tcBorders>
            <w:vAlign w:val="center"/>
          </w:tcPr>
          <w:p w14:paraId="285570D4">
            <w:pPr>
              <w:spacing w:line="400" w:lineRule="exact"/>
              <w:jc w:val="center"/>
              <w:rPr>
                <w:rFonts w:ascii="宋体" w:hAnsi="宋体" w:eastAsia="宋体" w:cs="Arial"/>
              </w:rPr>
            </w:pPr>
          </w:p>
        </w:tc>
      </w:tr>
      <w:tr w14:paraId="11A449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FF1A7D0">
            <w:pPr>
              <w:spacing w:line="400" w:lineRule="exact"/>
              <w:jc w:val="center"/>
              <w:rPr>
                <w:rFonts w:ascii="宋体" w:hAnsi="宋体" w:eastAsia="宋体" w:cs="Arial"/>
              </w:rPr>
            </w:pPr>
          </w:p>
        </w:tc>
        <w:tc>
          <w:tcPr>
            <w:tcW w:w="1681" w:type="dxa"/>
            <w:tcBorders>
              <w:right w:val="single" w:color="auto" w:sz="4" w:space="0"/>
            </w:tcBorders>
            <w:vAlign w:val="center"/>
          </w:tcPr>
          <w:p w14:paraId="1C1F9BD4">
            <w:pPr>
              <w:spacing w:line="400" w:lineRule="exact"/>
              <w:jc w:val="center"/>
              <w:rPr>
                <w:rFonts w:ascii="宋体" w:hAnsi="宋体" w:eastAsia="宋体" w:cs="Arial"/>
              </w:rPr>
            </w:pPr>
          </w:p>
        </w:tc>
        <w:tc>
          <w:tcPr>
            <w:tcW w:w="1541" w:type="dxa"/>
            <w:tcBorders>
              <w:left w:val="single" w:color="auto" w:sz="4" w:space="0"/>
            </w:tcBorders>
            <w:vAlign w:val="center"/>
          </w:tcPr>
          <w:p w14:paraId="35D86963">
            <w:pPr>
              <w:spacing w:line="400" w:lineRule="exact"/>
              <w:jc w:val="center"/>
              <w:rPr>
                <w:rFonts w:ascii="宋体" w:hAnsi="宋体" w:eastAsia="宋体" w:cs="Arial"/>
              </w:rPr>
            </w:pPr>
          </w:p>
        </w:tc>
        <w:tc>
          <w:tcPr>
            <w:tcW w:w="1519" w:type="dxa"/>
            <w:vAlign w:val="center"/>
          </w:tcPr>
          <w:p w14:paraId="10B5CE95">
            <w:pPr>
              <w:spacing w:line="400" w:lineRule="exact"/>
              <w:jc w:val="center"/>
              <w:rPr>
                <w:rFonts w:ascii="宋体" w:hAnsi="宋体" w:eastAsia="宋体" w:cs="Arial"/>
              </w:rPr>
            </w:pPr>
          </w:p>
        </w:tc>
        <w:tc>
          <w:tcPr>
            <w:tcW w:w="1559" w:type="dxa"/>
            <w:vAlign w:val="center"/>
          </w:tcPr>
          <w:p w14:paraId="2BB60CEC">
            <w:pPr>
              <w:spacing w:line="400" w:lineRule="exact"/>
              <w:jc w:val="center"/>
              <w:rPr>
                <w:rFonts w:ascii="宋体" w:hAnsi="宋体" w:eastAsia="宋体" w:cs="Arial"/>
              </w:rPr>
            </w:pPr>
          </w:p>
        </w:tc>
        <w:tc>
          <w:tcPr>
            <w:tcW w:w="1272" w:type="dxa"/>
            <w:tcBorders>
              <w:left w:val="single" w:color="auto" w:sz="4" w:space="0"/>
            </w:tcBorders>
            <w:vAlign w:val="center"/>
          </w:tcPr>
          <w:p w14:paraId="2052434E">
            <w:pPr>
              <w:spacing w:line="400" w:lineRule="exact"/>
              <w:jc w:val="center"/>
              <w:rPr>
                <w:rFonts w:ascii="宋体" w:hAnsi="宋体" w:eastAsia="宋体" w:cs="Arial"/>
              </w:rPr>
            </w:pPr>
          </w:p>
        </w:tc>
      </w:tr>
      <w:tr w14:paraId="7A907F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3DD7D2DA">
            <w:pPr>
              <w:spacing w:line="400" w:lineRule="exact"/>
              <w:jc w:val="center"/>
              <w:rPr>
                <w:rFonts w:ascii="宋体" w:hAnsi="宋体" w:eastAsia="宋体" w:cs="Arial"/>
              </w:rPr>
            </w:pPr>
          </w:p>
        </w:tc>
        <w:tc>
          <w:tcPr>
            <w:tcW w:w="1681" w:type="dxa"/>
            <w:tcBorders>
              <w:right w:val="single" w:color="auto" w:sz="4" w:space="0"/>
            </w:tcBorders>
            <w:vAlign w:val="center"/>
          </w:tcPr>
          <w:p w14:paraId="60A9505F">
            <w:pPr>
              <w:spacing w:line="400" w:lineRule="exact"/>
              <w:jc w:val="center"/>
              <w:rPr>
                <w:rFonts w:ascii="宋体" w:hAnsi="宋体" w:eastAsia="宋体" w:cs="Arial"/>
              </w:rPr>
            </w:pPr>
          </w:p>
        </w:tc>
        <w:tc>
          <w:tcPr>
            <w:tcW w:w="1541" w:type="dxa"/>
            <w:tcBorders>
              <w:left w:val="single" w:color="auto" w:sz="4" w:space="0"/>
            </w:tcBorders>
            <w:vAlign w:val="center"/>
          </w:tcPr>
          <w:p w14:paraId="09F90699">
            <w:pPr>
              <w:spacing w:line="400" w:lineRule="exact"/>
              <w:jc w:val="center"/>
              <w:rPr>
                <w:rFonts w:ascii="宋体" w:hAnsi="宋体" w:eastAsia="宋体" w:cs="Arial"/>
              </w:rPr>
            </w:pPr>
          </w:p>
        </w:tc>
        <w:tc>
          <w:tcPr>
            <w:tcW w:w="1519" w:type="dxa"/>
            <w:vAlign w:val="center"/>
          </w:tcPr>
          <w:p w14:paraId="5557A54C">
            <w:pPr>
              <w:spacing w:line="400" w:lineRule="exact"/>
              <w:jc w:val="center"/>
              <w:rPr>
                <w:rFonts w:ascii="宋体" w:hAnsi="宋体" w:eastAsia="宋体" w:cs="Arial"/>
              </w:rPr>
            </w:pPr>
          </w:p>
        </w:tc>
        <w:tc>
          <w:tcPr>
            <w:tcW w:w="1559" w:type="dxa"/>
            <w:vAlign w:val="center"/>
          </w:tcPr>
          <w:p w14:paraId="49635817">
            <w:pPr>
              <w:spacing w:line="400" w:lineRule="exact"/>
              <w:jc w:val="center"/>
              <w:rPr>
                <w:rFonts w:ascii="宋体" w:hAnsi="宋体" w:eastAsia="宋体" w:cs="Arial"/>
              </w:rPr>
            </w:pPr>
          </w:p>
        </w:tc>
        <w:tc>
          <w:tcPr>
            <w:tcW w:w="1272" w:type="dxa"/>
            <w:tcBorders>
              <w:left w:val="single" w:color="auto" w:sz="4" w:space="0"/>
            </w:tcBorders>
            <w:vAlign w:val="center"/>
          </w:tcPr>
          <w:p w14:paraId="2290CCBC">
            <w:pPr>
              <w:spacing w:line="400" w:lineRule="exact"/>
              <w:jc w:val="center"/>
              <w:rPr>
                <w:rFonts w:ascii="宋体" w:hAnsi="宋体" w:eastAsia="宋体" w:cs="Arial"/>
              </w:rPr>
            </w:pPr>
          </w:p>
        </w:tc>
      </w:tr>
      <w:tr w14:paraId="6458A7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6A9EA0B4">
            <w:pPr>
              <w:spacing w:line="400" w:lineRule="exact"/>
              <w:jc w:val="center"/>
              <w:rPr>
                <w:rFonts w:ascii="宋体" w:hAnsi="宋体" w:eastAsia="宋体" w:cs="Arial"/>
              </w:rPr>
            </w:pPr>
          </w:p>
        </w:tc>
        <w:tc>
          <w:tcPr>
            <w:tcW w:w="1681" w:type="dxa"/>
            <w:tcBorders>
              <w:right w:val="single" w:color="auto" w:sz="4" w:space="0"/>
            </w:tcBorders>
            <w:vAlign w:val="center"/>
          </w:tcPr>
          <w:p w14:paraId="6D310353">
            <w:pPr>
              <w:spacing w:line="400" w:lineRule="exact"/>
              <w:jc w:val="center"/>
              <w:rPr>
                <w:rFonts w:ascii="宋体" w:hAnsi="宋体" w:eastAsia="宋体" w:cs="Arial"/>
              </w:rPr>
            </w:pPr>
          </w:p>
        </w:tc>
        <w:tc>
          <w:tcPr>
            <w:tcW w:w="1541" w:type="dxa"/>
            <w:tcBorders>
              <w:left w:val="single" w:color="auto" w:sz="4" w:space="0"/>
            </w:tcBorders>
            <w:vAlign w:val="center"/>
          </w:tcPr>
          <w:p w14:paraId="1073DAF7">
            <w:pPr>
              <w:spacing w:line="400" w:lineRule="exact"/>
              <w:jc w:val="center"/>
              <w:rPr>
                <w:rFonts w:ascii="宋体" w:hAnsi="宋体" w:eastAsia="宋体" w:cs="Arial"/>
              </w:rPr>
            </w:pPr>
          </w:p>
        </w:tc>
        <w:tc>
          <w:tcPr>
            <w:tcW w:w="1519" w:type="dxa"/>
            <w:vAlign w:val="center"/>
          </w:tcPr>
          <w:p w14:paraId="6506644F">
            <w:pPr>
              <w:spacing w:line="400" w:lineRule="exact"/>
              <w:jc w:val="center"/>
              <w:rPr>
                <w:rFonts w:ascii="宋体" w:hAnsi="宋体" w:eastAsia="宋体" w:cs="Arial"/>
              </w:rPr>
            </w:pPr>
          </w:p>
        </w:tc>
        <w:tc>
          <w:tcPr>
            <w:tcW w:w="1559" w:type="dxa"/>
            <w:vAlign w:val="center"/>
          </w:tcPr>
          <w:p w14:paraId="556C79DB">
            <w:pPr>
              <w:spacing w:line="400" w:lineRule="exact"/>
              <w:jc w:val="center"/>
              <w:rPr>
                <w:rFonts w:ascii="宋体" w:hAnsi="宋体" w:eastAsia="宋体" w:cs="Arial"/>
              </w:rPr>
            </w:pPr>
          </w:p>
        </w:tc>
        <w:tc>
          <w:tcPr>
            <w:tcW w:w="1272" w:type="dxa"/>
            <w:tcBorders>
              <w:left w:val="single" w:color="auto" w:sz="4" w:space="0"/>
            </w:tcBorders>
            <w:vAlign w:val="center"/>
          </w:tcPr>
          <w:p w14:paraId="4FCE9A01">
            <w:pPr>
              <w:spacing w:line="400" w:lineRule="exact"/>
              <w:jc w:val="center"/>
              <w:rPr>
                <w:rFonts w:ascii="宋体" w:hAnsi="宋体" w:eastAsia="宋体" w:cs="Arial"/>
              </w:rPr>
            </w:pPr>
          </w:p>
        </w:tc>
      </w:tr>
      <w:tr w14:paraId="2C191DE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0134EB35">
            <w:pPr>
              <w:spacing w:line="400" w:lineRule="exact"/>
              <w:jc w:val="center"/>
              <w:rPr>
                <w:rFonts w:ascii="宋体" w:hAnsi="宋体" w:eastAsia="宋体" w:cs="Arial"/>
              </w:rPr>
            </w:pPr>
          </w:p>
        </w:tc>
        <w:tc>
          <w:tcPr>
            <w:tcW w:w="1681" w:type="dxa"/>
            <w:tcBorders>
              <w:right w:val="single" w:color="auto" w:sz="4" w:space="0"/>
            </w:tcBorders>
            <w:vAlign w:val="center"/>
          </w:tcPr>
          <w:p w14:paraId="746578FF">
            <w:pPr>
              <w:spacing w:line="400" w:lineRule="exact"/>
              <w:jc w:val="center"/>
              <w:rPr>
                <w:rFonts w:ascii="宋体" w:hAnsi="宋体" w:eastAsia="宋体" w:cs="Arial"/>
              </w:rPr>
            </w:pPr>
          </w:p>
        </w:tc>
        <w:tc>
          <w:tcPr>
            <w:tcW w:w="1541" w:type="dxa"/>
            <w:tcBorders>
              <w:left w:val="single" w:color="auto" w:sz="4" w:space="0"/>
            </w:tcBorders>
            <w:vAlign w:val="center"/>
          </w:tcPr>
          <w:p w14:paraId="5F6BD58C">
            <w:pPr>
              <w:spacing w:line="400" w:lineRule="exact"/>
              <w:jc w:val="center"/>
              <w:rPr>
                <w:rFonts w:ascii="宋体" w:hAnsi="宋体" w:eastAsia="宋体" w:cs="Arial"/>
              </w:rPr>
            </w:pPr>
          </w:p>
        </w:tc>
        <w:tc>
          <w:tcPr>
            <w:tcW w:w="1519" w:type="dxa"/>
            <w:vAlign w:val="center"/>
          </w:tcPr>
          <w:p w14:paraId="75B54FAF">
            <w:pPr>
              <w:spacing w:line="400" w:lineRule="exact"/>
              <w:jc w:val="center"/>
              <w:rPr>
                <w:rFonts w:ascii="宋体" w:hAnsi="宋体" w:eastAsia="宋体" w:cs="Arial"/>
              </w:rPr>
            </w:pPr>
          </w:p>
        </w:tc>
        <w:tc>
          <w:tcPr>
            <w:tcW w:w="1559" w:type="dxa"/>
            <w:vAlign w:val="center"/>
          </w:tcPr>
          <w:p w14:paraId="7AEA2AD7">
            <w:pPr>
              <w:spacing w:line="400" w:lineRule="exact"/>
              <w:jc w:val="center"/>
              <w:rPr>
                <w:rFonts w:ascii="宋体" w:hAnsi="宋体" w:eastAsia="宋体" w:cs="Arial"/>
              </w:rPr>
            </w:pPr>
          </w:p>
        </w:tc>
        <w:tc>
          <w:tcPr>
            <w:tcW w:w="1272" w:type="dxa"/>
            <w:tcBorders>
              <w:left w:val="single" w:color="auto" w:sz="4" w:space="0"/>
            </w:tcBorders>
            <w:vAlign w:val="center"/>
          </w:tcPr>
          <w:p w14:paraId="2D1DE137">
            <w:pPr>
              <w:spacing w:line="400" w:lineRule="exact"/>
              <w:jc w:val="center"/>
              <w:rPr>
                <w:rFonts w:ascii="宋体" w:hAnsi="宋体" w:eastAsia="宋体" w:cs="Arial"/>
              </w:rPr>
            </w:pPr>
          </w:p>
        </w:tc>
      </w:tr>
      <w:tr w14:paraId="2C93C64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6C81F15">
            <w:pPr>
              <w:spacing w:line="400" w:lineRule="exact"/>
              <w:jc w:val="center"/>
              <w:rPr>
                <w:rFonts w:ascii="宋体" w:hAnsi="宋体" w:eastAsia="宋体" w:cs="Arial"/>
              </w:rPr>
            </w:pPr>
          </w:p>
          <w:p w14:paraId="564F2D04">
            <w:pPr>
              <w:spacing w:line="400" w:lineRule="exact"/>
              <w:jc w:val="center"/>
              <w:rPr>
                <w:rFonts w:ascii="宋体" w:hAnsi="宋体" w:eastAsia="宋体" w:cs="Arial"/>
              </w:rPr>
            </w:pPr>
          </w:p>
        </w:tc>
        <w:tc>
          <w:tcPr>
            <w:tcW w:w="1681" w:type="dxa"/>
            <w:tcBorders>
              <w:right w:val="single" w:color="auto" w:sz="4" w:space="0"/>
            </w:tcBorders>
            <w:vAlign w:val="center"/>
          </w:tcPr>
          <w:p w14:paraId="1E1A8592">
            <w:pPr>
              <w:spacing w:line="400" w:lineRule="exact"/>
              <w:jc w:val="center"/>
              <w:rPr>
                <w:rFonts w:ascii="宋体" w:hAnsi="宋体" w:eastAsia="宋体" w:cs="Arial"/>
              </w:rPr>
            </w:pPr>
          </w:p>
        </w:tc>
        <w:tc>
          <w:tcPr>
            <w:tcW w:w="1541" w:type="dxa"/>
            <w:tcBorders>
              <w:left w:val="single" w:color="auto" w:sz="4" w:space="0"/>
            </w:tcBorders>
            <w:vAlign w:val="center"/>
          </w:tcPr>
          <w:p w14:paraId="2015A2D3">
            <w:pPr>
              <w:spacing w:line="400" w:lineRule="exact"/>
              <w:jc w:val="center"/>
              <w:rPr>
                <w:rFonts w:ascii="宋体" w:hAnsi="宋体" w:eastAsia="宋体" w:cs="Arial"/>
              </w:rPr>
            </w:pPr>
          </w:p>
        </w:tc>
        <w:tc>
          <w:tcPr>
            <w:tcW w:w="1519" w:type="dxa"/>
            <w:vAlign w:val="center"/>
          </w:tcPr>
          <w:p w14:paraId="159EEB63">
            <w:pPr>
              <w:spacing w:line="400" w:lineRule="exact"/>
              <w:jc w:val="center"/>
              <w:rPr>
                <w:rFonts w:ascii="宋体" w:hAnsi="宋体" w:eastAsia="宋体" w:cs="Arial"/>
              </w:rPr>
            </w:pPr>
          </w:p>
        </w:tc>
        <w:tc>
          <w:tcPr>
            <w:tcW w:w="1559" w:type="dxa"/>
            <w:vAlign w:val="center"/>
          </w:tcPr>
          <w:p w14:paraId="52969C0E">
            <w:pPr>
              <w:spacing w:line="400" w:lineRule="exact"/>
              <w:jc w:val="center"/>
              <w:rPr>
                <w:rFonts w:ascii="宋体" w:hAnsi="宋体" w:eastAsia="宋体" w:cs="Arial"/>
              </w:rPr>
            </w:pPr>
          </w:p>
        </w:tc>
        <w:tc>
          <w:tcPr>
            <w:tcW w:w="1272" w:type="dxa"/>
            <w:tcBorders>
              <w:left w:val="single" w:color="auto" w:sz="4" w:space="0"/>
            </w:tcBorders>
            <w:vAlign w:val="center"/>
          </w:tcPr>
          <w:p w14:paraId="624B67F4">
            <w:pPr>
              <w:spacing w:line="400" w:lineRule="exact"/>
              <w:jc w:val="center"/>
              <w:rPr>
                <w:rFonts w:ascii="宋体" w:hAnsi="宋体" w:eastAsia="宋体" w:cs="Arial"/>
              </w:rPr>
            </w:pPr>
          </w:p>
        </w:tc>
      </w:tr>
      <w:tr w14:paraId="3434F6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177BF71D">
            <w:pPr>
              <w:spacing w:line="400" w:lineRule="exact"/>
              <w:jc w:val="center"/>
              <w:rPr>
                <w:rFonts w:ascii="宋体" w:hAnsi="宋体" w:eastAsia="宋体" w:cs="Arial"/>
              </w:rPr>
            </w:pPr>
          </w:p>
        </w:tc>
        <w:tc>
          <w:tcPr>
            <w:tcW w:w="1681" w:type="dxa"/>
            <w:tcBorders>
              <w:right w:val="single" w:color="auto" w:sz="4" w:space="0"/>
            </w:tcBorders>
            <w:vAlign w:val="center"/>
          </w:tcPr>
          <w:p w14:paraId="7769E91D">
            <w:pPr>
              <w:spacing w:line="400" w:lineRule="exact"/>
              <w:jc w:val="center"/>
              <w:rPr>
                <w:rFonts w:ascii="宋体" w:hAnsi="宋体" w:eastAsia="宋体" w:cs="Arial"/>
              </w:rPr>
            </w:pPr>
          </w:p>
        </w:tc>
        <w:tc>
          <w:tcPr>
            <w:tcW w:w="1541" w:type="dxa"/>
            <w:tcBorders>
              <w:left w:val="single" w:color="auto" w:sz="4" w:space="0"/>
            </w:tcBorders>
            <w:vAlign w:val="center"/>
          </w:tcPr>
          <w:p w14:paraId="0FC66741">
            <w:pPr>
              <w:spacing w:line="400" w:lineRule="exact"/>
              <w:jc w:val="center"/>
              <w:rPr>
                <w:rFonts w:ascii="宋体" w:hAnsi="宋体" w:eastAsia="宋体" w:cs="Arial"/>
              </w:rPr>
            </w:pPr>
          </w:p>
        </w:tc>
        <w:tc>
          <w:tcPr>
            <w:tcW w:w="1519" w:type="dxa"/>
            <w:vAlign w:val="center"/>
          </w:tcPr>
          <w:p w14:paraId="75382B0D">
            <w:pPr>
              <w:spacing w:line="400" w:lineRule="exact"/>
              <w:jc w:val="center"/>
              <w:rPr>
                <w:rFonts w:ascii="宋体" w:hAnsi="宋体" w:eastAsia="宋体" w:cs="Arial"/>
              </w:rPr>
            </w:pPr>
          </w:p>
        </w:tc>
        <w:tc>
          <w:tcPr>
            <w:tcW w:w="1559" w:type="dxa"/>
            <w:vAlign w:val="center"/>
          </w:tcPr>
          <w:p w14:paraId="266C74CF">
            <w:pPr>
              <w:spacing w:line="400" w:lineRule="exact"/>
              <w:jc w:val="center"/>
              <w:rPr>
                <w:rFonts w:ascii="宋体" w:hAnsi="宋体" w:eastAsia="宋体" w:cs="Arial"/>
              </w:rPr>
            </w:pPr>
          </w:p>
        </w:tc>
        <w:tc>
          <w:tcPr>
            <w:tcW w:w="1272" w:type="dxa"/>
            <w:tcBorders>
              <w:left w:val="single" w:color="auto" w:sz="4" w:space="0"/>
            </w:tcBorders>
            <w:vAlign w:val="center"/>
          </w:tcPr>
          <w:p w14:paraId="6556C54A">
            <w:pPr>
              <w:spacing w:line="400" w:lineRule="exact"/>
              <w:jc w:val="center"/>
              <w:rPr>
                <w:rFonts w:ascii="宋体" w:hAnsi="宋体" w:eastAsia="宋体" w:cs="Arial"/>
              </w:rPr>
            </w:pPr>
          </w:p>
        </w:tc>
      </w:tr>
      <w:tr w14:paraId="06DE83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28ED945A">
            <w:pPr>
              <w:spacing w:line="400" w:lineRule="exact"/>
              <w:jc w:val="center"/>
              <w:rPr>
                <w:rFonts w:ascii="宋体" w:hAnsi="宋体" w:eastAsia="宋体" w:cs="Arial"/>
              </w:rPr>
            </w:pPr>
          </w:p>
        </w:tc>
        <w:tc>
          <w:tcPr>
            <w:tcW w:w="1681" w:type="dxa"/>
            <w:tcBorders>
              <w:right w:val="single" w:color="auto" w:sz="4" w:space="0"/>
            </w:tcBorders>
            <w:vAlign w:val="center"/>
          </w:tcPr>
          <w:p w14:paraId="59E1059B">
            <w:pPr>
              <w:spacing w:line="400" w:lineRule="exact"/>
              <w:jc w:val="center"/>
              <w:rPr>
                <w:rFonts w:ascii="宋体" w:hAnsi="宋体" w:eastAsia="宋体" w:cs="Arial"/>
              </w:rPr>
            </w:pPr>
          </w:p>
        </w:tc>
        <w:tc>
          <w:tcPr>
            <w:tcW w:w="1541" w:type="dxa"/>
            <w:tcBorders>
              <w:left w:val="single" w:color="auto" w:sz="4" w:space="0"/>
            </w:tcBorders>
            <w:vAlign w:val="center"/>
          </w:tcPr>
          <w:p w14:paraId="0BB41358">
            <w:pPr>
              <w:spacing w:line="400" w:lineRule="exact"/>
              <w:jc w:val="center"/>
              <w:rPr>
                <w:rFonts w:ascii="宋体" w:hAnsi="宋体" w:eastAsia="宋体" w:cs="Arial"/>
              </w:rPr>
            </w:pPr>
          </w:p>
        </w:tc>
        <w:tc>
          <w:tcPr>
            <w:tcW w:w="1519" w:type="dxa"/>
            <w:vAlign w:val="center"/>
          </w:tcPr>
          <w:p w14:paraId="01D62BD7">
            <w:pPr>
              <w:spacing w:line="400" w:lineRule="exact"/>
              <w:jc w:val="center"/>
              <w:rPr>
                <w:rFonts w:ascii="宋体" w:hAnsi="宋体" w:eastAsia="宋体" w:cs="Arial"/>
              </w:rPr>
            </w:pPr>
          </w:p>
        </w:tc>
        <w:tc>
          <w:tcPr>
            <w:tcW w:w="1559" w:type="dxa"/>
            <w:vAlign w:val="center"/>
          </w:tcPr>
          <w:p w14:paraId="011CF067">
            <w:pPr>
              <w:spacing w:line="400" w:lineRule="exact"/>
              <w:jc w:val="center"/>
              <w:rPr>
                <w:rFonts w:ascii="宋体" w:hAnsi="宋体" w:eastAsia="宋体" w:cs="Arial"/>
              </w:rPr>
            </w:pPr>
          </w:p>
        </w:tc>
        <w:tc>
          <w:tcPr>
            <w:tcW w:w="1272" w:type="dxa"/>
            <w:tcBorders>
              <w:left w:val="single" w:color="auto" w:sz="4" w:space="0"/>
            </w:tcBorders>
            <w:vAlign w:val="center"/>
          </w:tcPr>
          <w:p w14:paraId="5F58E7EB">
            <w:pPr>
              <w:spacing w:line="400" w:lineRule="exact"/>
              <w:jc w:val="center"/>
              <w:rPr>
                <w:rFonts w:ascii="宋体" w:hAnsi="宋体" w:eastAsia="宋体" w:cs="Arial"/>
              </w:rPr>
            </w:pPr>
          </w:p>
        </w:tc>
      </w:tr>
      <w:tr w14:paraId="480A77C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14:paraId="7DF9A1B0">
            <w:pPr>
              <w:spacing w:line="400" w:lineRule="exact"/>
              <w:jc w:val="center"/>
              <w:rPr>
                <w:rFonts w:ascii="宋体" w:hAnsi="宋体" w:eastAsia="宋体" w:cs="Arial"/>
              </w:rPr>
            </w:pPr>
          </w:p>
        </w:tc>
        <w:tc>
          <w:tcPr>
            <w:tcW w:w="1681" w:type="dxa"/>
            <w:tcBorders>
              <w:right w:val="single" w:color="auto" w:sz="4" w:space="0"/>
            </w:tcBorders>
            <w:vAlign w:val="center"/>
          </w:tcPr>
          <w:p w14:paraId="5F2AF842">
            <w:pPr>
              <w:spacing w:line="400" w:lineRule="exact"/>
              <w:jc w:val="center"/>
              <w:rPr>
                <w:rFonts w:ascii="宋体" w:hAnsi="宋体" w:eastAsia="宋体" w:cs="Arial"/>
              </w:rPr>
            </w:pPr>
          </w:p>
        </w:tc>
        <w:tc>
          <w:tcPr>
            <w:tcW w:w="1541" w:type="dxa"/>
            <w:tcBorders>
              <w:left w:val="single" w:color="auto" w:sz="4" w:space="0"/>
            </w:tcBorders>
            <w:vAlign w:val="center"/>
          </w:tcPr>
          <w:p w14:paraId="5245F100">
            <w:pPr>
              <w:spacing w:line="400" w:lineRule="exact"/>
              <w:jc w:val="center"/>
              <w:rPr>
                <w:rFonts w:ascii="宋体" w:hAnsi="宋体" w:eastAsia="宋体" w:cs="Arial"/>
              </w:rPr>
            </w:pPr>
          </w:p>
        </w:tc>
        <w:tc>
          <w:tcPr>
            <w:tcW w:w="1519" w:type="dxa"/>
            <w:vAlign w:val="center"/>
          </w:tcPr>
          <w:p w14:paraId="5BFFEB41">
            <w:pPr>
              <w:spacing w:line="400" w:lineRule="exact"/>
              <w:jc w:val="center"/>
              <w:rPr>
                <w:rFonts w:ascii="宋体" w:hAnsi="宋体" w:eastAsia="宋体" w:cs="Arial"/>
              </w:rPr>
            </w:pPr>
          </w:p>
        </w:tc>
        <w:tc>
          <w:tcPr>
            <w:tcW w:w="1559" w:type="dxa"/>
            <w:vAlign w:val="center"/>
          </w:tcPr>
          <w:p w14:paraId="20AFD933">
            <w:pPr>
              <w:spacing w:line="400" w:lineRule="exact"/>
              <w:jc w:val="center"/>
              <w:rPr>
                <w:rFonts w:ascii="宋体" w:hAnsi="宋体" w:eastAsia="宋体" w:cs="Arial"/>
              </w:rPr>
            </w:pPr>
          </w:p>
        </w:tc>
        <w:tc>
          <w:tcPr>
            <w:tcW w:w="1272" w:type="dxa"/>
            <w:tcBorders>
              <w:left w:val="single" w:color="auto" w:sz="4" w:space="0"/>
            </w:tcBorders>
            <w:vAlign w:val="center"/>
          </w:tcPr>
          <w:p w14:paraId="16227090">
            <w:pPr>
              <w:spacing w:line="400" w:lineRule="exact"/>
              <w:jc w:val="center"/>
              <w:rPr>
                <w:rFonts w:ascii="宋体" w:hAnsi="宋体" w:eastAsia="宋体" w:cs="Arial"/>
              </w:rPr>
            </w:pPr>
          </w:p>
        </w:tc>
      </w:tr>
    </w:tbl>
    <w:p w14:paraId="4C868D6F">
      <w:pPr>
        <w:rPr>
          <w:rFonts w:ascii="宋体" w:hAnsi="宋体" w:eastAsia="宋体"/>
        </w:rPr>
      </w:pPr>
      <w:r>
        <w:rPr>
          <w:rFonts w:ascii="宋体" w:hAnsi="宋体" w:eastAsia="宋体"/>
        </w:rPr>
        <w:br w:type="page"/>
      </w:r>
    </w:p>
    <w:p w14:paraId="4A19D22A">
      <w:pPr>
        <w:pStyle w:val="3"/>
        <w:spacing w:line="400" w:lineRule="exact"/>
        <w:jc w:val="center"/>
        <w:rPr>
          <w:rFonts w:ascii="宋体" w:hAnsi="宋体" w:eastAsia="宋体"/>
          <w:sz w:val="32"/>
        </w:rPr>
      </w:pPr>
      <w:r>
        <w:rPr>
          <w:rFonts w:hint="eastAsia" w:ascii="宋体" w:hAnsi="宋体" w:eastAsia="宋体"/>
          <w:sz w:val="32"/>
        </w:rPr>
        <w:t>六、技术参数要求响应情况表</w:t>
      </w:r>
    </w:p>
    <w:p w14:paraId="6A5E1144">
      <w:pPr>
        <w:rPr>
          <w:rFonts w:ascii="宋体" w:hAnsi="宋体" w:eastAsia="宋体"/>
        </w:rPr>
      </w:pPr>
    </w:p>
    <w:tbl>
      <w:tblPr>
        <w:tblStyle w:val="23"/>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1815"/>
      </w:tblGrid>
      <w:tr w14:paraId="2835C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4C4940D">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14:paraId="630092C6">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14:paraId="048D94AC">
            <w:pPr>
              <w:jc w:val="center"/>
              <w:rPr>
                <w:rFonts w:ascii="宋体" w:hAnsi="宋体" w:eastAsia="宋体" w:cs="仿宋"/>
                <w:b/>
                <w:bCs/>
                <w:szCs w:val="21"/>
              </w:rPr>
            </w:pPr>
            <w:r>
              <w:rPr>
                <w:rFonts w:hint="eastAsia" w:ascii="宋体" w:hAnsi="宋体" w:eastAsia="宋体" w:cs="仿宋"/>
                <w:b/>
                <w:bCs/>
                <w:sz w:val="22"/>
              </w:rPr>
              <w:t>响应内容</w:t>
            </w:r>
          </w:p>
        </w:tc>
        <w:tc>
          <w:tcPr>
            <w:tcW w:w="1815" w:type="dxa"/>
            <w:vAlign w:val="center"/>
          </w:tcPr>
          <w:p w14:paraId="60BA57A8">
            <w:pPr>
              <w:jc w:val="center"/>
              <w:rPr>
                <w:rFonts w:ascii="宋体" w:hAnsi="宋体" w:eastAsia="宋体" w:cs="仿宋"/>
                <w:b/>
                <w:bCs/>
                <w:sz w:val="22"/>
              </w:rPr>
            </w:pPr>
            <w:r>
              <w:rPr>
                <w:rFonts w:hint="eastAsia" w:ascii="宋体" w:hAnsi="宋体" w:eastAsia="宋体" w:cs="仿宋"/>
                <w:b/>
                <w:bCs/>
                <w:sz w:val="22"/>
              </w:rPr>
              <w:t>差异说明</w:t>
            </w:r>
          </w:p>
          <w:p w14:paraId="154D226B">
            <w:pPr>
              <w:jc w:val="center"/>
              <w:rPr>
                <w:rFonts w:ascii="宋体" w:hAnsi="宋体" w:eastAsia="宋体" w:cs="仿宋"/>
                <w:b/>
                <w:bCs/>
                <w:sz w:val="22"/>
              </w:rPr>
            </w:pPr>
            <w:r>
              <w:rPr>
                <w:rFonts w:hint="eastAsia" w:ascii="宋体" w:hAnsi="宋体" w:eastAsia="宋体" w:cs="仿宋"/>
                <w:b/>
                <w:bCs/>
                <w:sz w:val="22"/>
              </w:rPr>
              <w:t>（若有）</w:t>
            </w:r>
          </w:p>
        </w:tc>
      </w:tr>
      <w:tr w14:paraId="1FFB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2271231">
            <w:pPr>
              <w:pStyle w:val="44"/>
              <w:jc w:val="center"/>
              <w:rPr>
                <w:rFonts w:ascii="宋体" w:hAnsi="宋体" w:eastAsia="宋体" w:cs="仿宋"/>
                <w:sz w:val="21"/>
                <w:szCs w:val="21"/>
              </w:rPr>
            </w:pPr>
          </w:p>
        </w:tc>
        <w:tc>
          <w:tcPr>
            <w:tcW w:w="2982" w:type="dxa"/>
            <w:vAlign w:val="center"/>
          </w:tcPr>
          <w:p w14:paraId="2C8C8756">
            <w:pPr>
              <w:pStyle w:val="44"/>
              <w:spacing w:line="360" w:lineRule="auto"/>
              <w:jc w:val="center"/>
              <w:rPr>
                <w:rFonts w:ascii="宋体" w:hAnsi="宋体" w:eastAsia="宋体" w:cs="仿宋"/>
                <w:sz w:val="21"/>
                <w:szCs w:val="21"/>
              </w:rPr>
            </w:pPr>
          </w:p>
        </w:tc>
        <w:tc>
          <w:tcPr>
            <w:tcW w:w="3180" w:type="dxa"/>
            <w:vAlign w:val="center"/>
          </w:tcPr>
          <w:p w14:paraId="248DD320">
            <w:pPr>
              <w:pStyle w:val="44"/>
              <w:spacing w:line="360" w:lineRule="auto"/>
              <w:jc w:val="center"/>
              <w:rPr>
                <w:rFonts w:ascii="宋体" w:hAnsi="宋体" w:eastAsia="宋体" w:cs="仿宋"/>
                <w:sz w:val="21"/>
                <w:szCs w:val="21"/>
              </w:rPr>
            </w:pPr>
          </w:p>
        </w:tc>
        <w:tc>
          <w:tcPr>
            <w:tcW w:w="1815" w:type="dxa"/>
            <w:vAlign w:val="center"/>
          </w:tcPr>
          <w:p w14:paraId="3126BDE2">
            <w:pPr>
              <w:pStyle w:val="44"/>
              <w:spacing w:line="360" w:lineRule="auto"/>
              <w:jc w:val="center"/>
              <w:rPr>
                <w:rFonts w:ascii="宋体" w:hAnsi="宋体" w:eastAsia="宋体" w:cs="仿宋"/>
                <w:sz w:val="21"/>
                <w:szCs w:val="21"/>
              </w:rPr>
            </w:pPr>
          </w:p>
        </w:tc>
      </w:tr>
      <w:tr w14:paraId="6645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5C70B270">
            <w:pPr>
              <w:pStyle w:val="44"/>
              <w:jc w:val="center"/>
              <w:rPr>
                <w:rFonts w:ascii="宋体" w:hAnsi="宋体" w:eastAsia="宋体" w:cs="仿宋"/>
                <w:sz w:val="21"/>
                <w:szCs w:val="21"/>
              </w:rPr>
            </w:pPr>
          </w:p>
        </w:tc>
        <w:tc>
          <w:tcPr>
            <w:tcW w:w="2982" w:type="dxa"/>
            <w:vAlign w:val="center"/>
          </w:tcPr>
          <w:p w14:paraId="55505153">
            <w:pPr>
              <w:pStyle w:val="44"/>
              <w:jc w:val="center"/>
              <w:rPr>
                <w:rFonts w:ascii="宋体" w:hAnsi="宋体" w:eastAsia="宋体" w:cs="仿宋"/>
                <w:sz w:val="21"/>
                <w:szCs w:val="21"/>
              </w:rPr>
            </w:pPr>
          </w:p>
        </w:tc>
        <w:tc>
          <w:tcPr>
            <w:tcW w:w="3180" w:type="dxa"/>
            <w:vAlign w:val="center"/>
          </w:tcPr>
          <w:p w14:paraId="4D57E86A">
            <w:pPr>
              <w:pStyle w:val="44"/>
              <w:jc w:val="center"/>
              <w:rPr>
                <w:rFonts w:ascii="宋体" w:hAnsi="宋体" w:eastAsia="宋体" w:cs="仿宋"/>
                <w:sz w:val="21"/>
                <w:szCs w:val="21"/>
              </w:rPr>
            </w:pPr>
          </w:p>
        </w:tc>
        <w:tc>
          <w:tcPr>
            <w:tcW w:w="1815" w:type="dxa"/>
            <w:vAlign w:val="center"/>
          </w:tcPr>
          <w:p w14:paraId="012AA6F7">
            <w:pPr>
              <w:pStyle w:val="44"/>
              <w:jc w:val="center"/>
              <w:rPr>
                <w:rFonts w:ascii="宋体" w:hAnsi="宋体" w:eastAsia="宋体" w:cs="仿宋"/>
                <w:sz w:val="21"/>
                <w:szCs w:val="21"/>
              </w:rPr>
            </w:pPr>
          </w:p>
        </w:tc>
      </w:tr>
      <w:tr w14:paraId="598A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A696D66">
            <w:pPr>
              <w:pStyle w:val="44"/>
              <w:jc w:val="center"/>
              <w:rPr>
                <w:rFonts w:ascii="宋体" w:hAnsi="宋体" w:eastAsia="宋体" w:cs="仿宋"/>
                <w:sz w:val="21"/>
                <w:szCs w:val="21"/>
              </w:rPr>
            </w:pPr>
          </w:p>
        </w:tc>
        <w:tc>
          <w:tcPr>
            <w:tcW w:w="2982" w:type="dxa"/>
            <w:vAlign w:val="center"/>
          </w:tcPr>
          <w:p w14:paraId="4D4B3516">
            <w:pPr>
              <w:pStyle w:val="44"/>
              <w:jc w:val="center"/>
              <w:rPr>
                <w:rFonts w:ascii="宋体" w:hAnsi="宋体" w:eastAsia="宋体" w:cs="仿宋"/>
                <w:sz w:val="21"/>
                <w:szCs w:val="21"/>
              </w:rPr>
            </w:pPr>
          </w:p>
        </w:tc>
        <w:tc>
          <w:tcPr>
            <w:tcW w:w="3180" w:type="dxa"/>
            <w:vAlign w:val="center"/>
          </w:tcPr>
          <w:p w14:paraId="3A679F70">
            <w:pPr>
              <w:pStyle w:val="44"/>
              <w:jc w:val="center"/>
              <w:rPr>
                <w:rFonts w:ascii="宋体" w:hAnsi="宋体" w:eastAsia="宋体" w:cs="仿宋"/>
                <w:sz w:val="21"/>
                <w:szCs w:val="21"/>
              </w:rPr>
            </w:pPr>
          </w:p>
        </w:tc>
        <w:tc>
          <w:tcPr>
            <w:tcW w:w="1815" w:type="dxa"/>
            <w:vAlign w:val="center"/>
          </w:tcPr>
          <w:p w14:paraId="432E4CFD">
            <w:pPr>
              <w:pStyle w:val="44"/>
              <w:jc w:val="center"/>
              <w:rPr>
                <w:rFonts w:ascii="宋体" w:hAnsi="宋体" w:eastAsia="宋体" w:cs="仿宋"/>
                <w:sz w:val="21"/>
                <w:szCs w:val="21"/>
              </w:rPr>
            </w:pPr>
          </w:p>
        </w:tc>
      </w:tr>
      <w:tr w14:paraId="583B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405C9BD7">
            <w:pPr>
              <w:pStyle w:val="44"/>
              <w:jc w:val="center"/>
              <w:rPr>
                <w:rFonts w:ascii="宋体" w:hAnsi="宋体" w:eastAsia="宋体" w:cs="仿宋"/>
                <w:sz w:val="21"/>
                <w:szCs w:val="21"/>
              </w:rPr>
            </w:pPr>
          </w:p>
        </w:tc>
        <w:tc>
          <w:tcPr>
            <w:tcW w:w="2982" w:type="dxa"/>
            <w:vAlign w:val="center"/>
          </w:tcPr>
          <w:p w14:paraId="7ED8F688">
            <w:pPr>
              <w:pStyle w:val="44"/>
              <w:jc w:val="center"/>
              <w:rPr>
                <w:rFonts w:ascii="宋体" w:hAnsi="宋体" w:eastAsia="宋体" w:cs="仿宋"/>
                <w:sz w:val="21"/>
                <w:szCs w:val="21"/>
              </w:rPr>
            </w:pPr>
          </w:p>
        </w:tc>
        <w:tc>
          <w:tcPr>
            <w:tcW w:w="3180" w:type="dxa"/>
            <w:vAlign w:val="center"/>
          </w:tcPr>
          <w:p w14:paraId="4D46794C">
            <w:pPr>
              <w:pStyle w:val="44"/>
              <w:jc w:val="center"/>
              <w:rPr>
                <w:rFonts w:ascii="宋体" w:hAnsi="宋体" w:eastAsia="宋体" w:cs="仿宋"/>
                <w:sz w:val="21"/>
                <w:szCs w:val="21"/>
              </w:rPr>
            </w:pPr>
          </w:p>
        </w:tc>
        <w:tc>
          <w:tcPr>
            <w:tcW w:w="1815" w:type="dxa"/>
            <w:vAlign w:val="center"/>
          </w:tcPr>
          <w:p w14:paraId="38AD8942">
            <w:pPr>
              <w:pStyle w:val="44"/>
              <w:jc w:val="center"/>
              <w:rPr>
                <w:rFonts w:ascii="宋体" w:hAnsi="宋体" w:eastAsia="宋体" w:cs="仿宋"/>
                <w:sz w:val="21"/>
                <w:szCs w:val="21"/>
              </w:rPr>
            </w:pPr>
          </w:p>
        </w:tc>
      </w:tr>
      <w:tr w14:paraId="06AB8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BEC928A">
            <w:pPr>
              <w:pStyle w:val="44"/>
              <w:jc w:val="center"/>
              <w:rPr>
                <w:rFonts w:ascii="宋体" w:hAnsi="宋体" w:eastAsia="宋体" w:cs="仿宋"/>
                <w:sz w:val="21"/>
                <w:szCs w:val="21"/>
              </w:rPr>
            </w:pPr>
          </w:p>
        </w:tc>
        <w:tc>
          <w:tcPr>
            <w:tcW w:w="2982" w:type="dxa"/>
            <w:vAlign w:val="center"/>
          </w:tcPr>
          <w:p w14:paraId="7508F393">
            <w:pPr>
              <w:pStyle w:val="44"/>
              <w:jc w:val="center"/>
              <w:rPr>
                <w:rFonts w:ascii="宋体" w:hAnsi="宋体" w:eastAsia="宋体" w:cs="仿宋"/>
                <w:sz w:val="21"/>
                <w:szCs w:val="21"/>
              </w:rPr>
            </w:pPr>
          </w:p>
        </w:tc>
        <w:tc>
          <w:tcPr>
            <w:tcW w:w="3180" w:type="dxa"/>
            <w:vAlign w:val="center"/>
          </w:tcPr>
          <w:p w14:paraId="4CFE4D3E">
            <w:pPr>
              <w:pStyle w:val="44"/>
              <w:jc w:val="center"/>
              <w:rPr>
                <w:rFonts w:ascii="宋体" w:hAnsi="宋体" w:eastAsia="宋体" w:cs="仿宋"/>
                <w:sz w:val="21"/>
                <w:szCs w:val="21"/>
              </w:rPr>
            </w:pPr>
          </w:p>
        </w:tc>
        <w:tc>
          <w:tcPr>
            <w:tcW w:w="1815" w:type="dxa"/>
            <w:vAlign w:val="center"/>
          </w:tcPr>
          <w:p w14:paraId="45447DD3">
            <w:pPr>
              <w:pStyle w:val="44"/>
              <w:jc w:val="center"/>
              <w:rPr>
                <w:rFonts w:ascii="宋体" w:hAnsi="宋体" w:eastAsia="宋体" w:cs="仿宋"/>
                <w:sz w:val="21"/>
                <w:szCs w:val="21"/>
              </w:rPr>
            </w:pPr>
          </w:p>
        </w:tc>
      </w:tr>
      <w:tr w14:paraId="14E1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570A7B9">
            <w:pPr>
              <w:pStyle w:val="44"/>
              <w:jc w:val="center"/>
              <w:rPr>
                <w:rFonts w:ascii="宋体" w:hAnsi="宋体" w:eastAsia="宋体" w:cs="仿宋"/>
                <w:sz w:val="21"/>
                <w:szCs w:val="21"/>
              </w:rPr>
            </w:pPr>
          </w:p>
        </w:tc>
        <w:tc>
          <w:tcPr>
            <w:tcW w:w="2982" w:type="dxa"/>
            <w:vAlign w:val="center"/>
          </w:tcPr>
          <w:p w14:paraId="048594E5">
            <w:pPr>
              <w:pStyle w:val="44"/>
              <w:jc w:val="center"/>
              <w:rPr>
                <w:rFonts w:ascii="宋体" w:hAnsi="宋体" w:eastAsia="宋体" w:cs="仿宋"/>
                <w:sz w:val="21"/>
                <w:szCs w:val="21"/>
              </w:rPr>
            </w:pPr>
          </w:p>
        </w:tc>
        <w:tc>
          <w:tcPr>
            <w:tcW w:w="3180" w:type="dxa"/>
            <w:vAlign w:val="center"/>
          </w:tcPr>
          <w:p w14:paraId="17E29526">
            <w:pPr>
              <w:pStyle w:val="44"/>
              <w:jc w:val="center"/>
              <w:rPr>
                <w:rFonts w:ascii="宋体" w:hAnsi="宋体" w:eastAsia="宋体" w:cs="仿宋"/>
                <w:sz w:val="21"/>
                <w:szCs w:val="21"/>
              </w:rPr>
            </w:pPr>
          </w:p>
        </w:tc>
        <w:tc>
          <w:tcPr>
            <w:tcW w:w="1815" w:type="dxa"/>
            <w:vAlign w:val="center"/>
          </w:tcPr>
          <w:p w14:paraId="4EBF5CC1">
            <w:pPr>
              <w:pStyle w:val="44"/>
              <w:jc w:val="center"/>
              <w:rPr>
                <w:rFonts w:ascii="宋体" w:hAnsi="宋体" w:eastAsia="宋体" w:cs="仿宋"/>
                <w:sz w:val="21"/>
                <w:szCs w:val="21"/>
              </w:rPr>
            </w:pPr>
          </w:p>
        </w:tc>
      </w:tr>
      <w:tr w14:paraId="6D485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6C76B81">
            <w:pPr>
              <w:pStyle w:val="44"/>
              <w:jc w:val="center"/>
              <w:rPr>
                <w:rFonts w:ascii="宋体" w:hAnsi="宋体" w:eastAsia="宋体" w:cs="仿宋"/>
                <w:sz w:val="21"/>
                <w:szCs w:val="21"/>
              </w:rPr>
            </w:pPr>
          </w:p>
        </w:tc>
        <w:tc>
          <w:tcPr>
            <w:tcW w:w="2982" w:type="dxa"/>
            <w:vAlign w:val="center"/>
          </w:tcPr>
          <w:p w14:paraId="002C651B">
            <w:pPr>
              <w:pStyle w:val="44"/>
              <w:jc w:val="center"/>
              <w:rPr>
                <w:rFonts w:ascii="宋体" w:hAnsi="宋体" w:eastAsia="宋体" w:cs="仿宋"/>
                <w:sz w:val="21"/>
                <w:szCs w:val="21"/>
              </w:rPr>
            </w:pPr>
          </w:p>
        </w:tc>
        <w:tc>
          <w:tcPr>
            <w:tcW w:w="3180" w:type="dxa"/>
            <w:vAlign w:val="center"/>
          </w:tcPr>
          <w:p w14:paraId="5961EDFF">
            <w:pPr>
              <w:pStyle w:val="44"/>
              <w:jc w:val="center"/>
              <w:rPr>
                <w:rFonts w:ascii="宋体" w:hAnsi="宋体" w:eastAsia="宋体" w:cs="仿宋"/>
                <w:sz w:val="21"/>
                <w:szCs w:val="21"/>
              </w:rPr>
            </w:pPr>
          </w:p>
        </w:tc>
        <w:tc>
          <w:tcPr>
            <w:tcW w:w="1815" w:type="dxa"/>
            <w:vAlign w:val="center"/>
          </w:tcPr>
          <w:p w14:paraId="23129EF9">
            <w:pPr>
              <w:pStyle w:val="44"/>
              <w:jc w:val="center"/>
              <w:rPr>
                <w:rFonts w:ascii="宋体" w:hAnsi="宋体" w:eastAsia="宋体" w:cs="仿宋"/>
                <w:sz w:val="21"/>
                <w:szCs w:val="21"/>
              </w:rPr>
            </w:pPr>
          </w:p>
        </w:tc>
      </w:tr>
      <w:tr w14:paraId="6D08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6FC41C62">
            <w:pPr>
              <w:pStyle w:val="44"/>
              <w:jc w:val="center"/>
              <w:rPr>
                <w:rFonts w:ascii="宋体" w:hAnsi="宋体" w:eastAsia="宋体" w:cs="仿宋"/>
                <w:sz w:val="21"/>
                <w:szCs w:val="21"/>
              </w:rPr>
            </w:pPr>
          </w:p>
        </w:tc>
        <w:tc>
          <w:tcPr>
            <w:tcW w:w="2982" w:type="dxa"/>
            <w:vAlign w:val="center"/>
          </w:tcPr>
          <w:p w14:paraId="3A939691">
            <w:pPr>
              <w:pStyle w:val="44"/>
              <w:jc w:val="center"/>
              <w:rPr>
                <w:rFonts w:ascii="宋体" w:hAnsi="宋体" w:eastAsia="宋体" w:cs="仿宋"/>
                <w:sz w:val="21"/>
                <w:szCs w:val="21"/>
              </w:rPr>
            </w:pPr>
          </w:p>
        </w:tc>
        <w:tc>
          <w:tcPr>
            <w:tcW w:w="3180" w:type="dxa"/>
            <w:vAlign w:val="center"/>
          </w:tcPr>
          <w:p w14:paraId="6C04694F">
            <w:pPr>
              <w:pStyle w:val="44"/>
              <w:jc w:val="center"/>
              <w:rPr>
                <w:rFonts w:ascii="宋体" w:hAnsi="宋体" w:eastAsia="宋体" w:cs="仿宋"/>
                <w:sz w:val="21"/>
                <w:szCs w:val="21"/>
              </w:rPr>
            </w:pPr>
          </w:p>
        </w:tc>
        <w:tc>
          <w:tcPr>
            <w:tcW w:w="1815" w:type="dxa"/>
            <w:vAlign w:val="center"/>
          </w:tcPr>
          <w:p w14:paraId="59DCE47E">
            <w:pPr>
              <w:pStyle w:val="44"/>
              <w:jc w:val="center"/>
              <w:rPr>
                <w:rFonts w:ascii="宋体" w:hAnsi="宋体" w:eastAsia="宋体" w:cs="仿宋"/>
                <w:sz w:val="21"/>
                <w:szCs w:val="21"/>
              </w:rPr>
            </w:pPr>
          </w:p>
        </w:tc>
      </w:tr>
    </w:tbl>
    <w:p w14:paraId="2CDBB8F2">
      <w:pPr>
        <w:ind w:firstLine="482" w:firstLineChars="200"/>
        <w:rPr>
          <w:rFonts w:ascii="宋体" w:hAnsi="宋体" w:eastAsia="宋体"/>
          <w:b/>
          <w:sz w:val="24"/>
        </w:rPr>
      </w:pPr>
    </w:p>
    <w:p w14:paraId="7B953E74">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14:paraId="6629DE5C">
      <w:pPr>
        <w:adjustRightInd w:val="0"/>
        <w:spacing w:line="400" w:lineRule="exact"/>
        <w:ind w:firstLine="480" w:firstLineChars="200"/>
        <w:jc w:val="left"/>
        <w:rPr>
          <w:rFonts w:ascii="宋体" w:hAnsi="宋体" w:eastAsia="宋体"/>
          <w:sz w:val="24"/>
        </w:rPr>
      </w:pPr>
    </w:p>
    <w:p w14:paraId="1B1E0114">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051019CA">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45D68FA8">
      <w:pPr>
        <w:pStyle w:val="9"/>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14:paraId="0ACE5A1E">
      <w:pPr>
        <w:rPr>
          <w:rFonts w:ascii="宋体" w:hAnsi="宋体" w:eastAsia="宋体"/>
          <w:bCs/>
          <w:sz w:val="24"/>
        </w:rPr>
      </w:pPr>
      <w:r>
        <w:rPr>
          <w:rFonts w:hint="eastAsia" w:ascii="宋体" w:hAnsi="宋体" w:eastAsia="宋体"/>
          <w:bCs/>
          <w:sz w:val="24"/>
        </w:rPr>
        <w:br w:type="page"/>
      </w:r>
    </w:p>
    <w:p w14:paraId="59D62FE7">
      <w:pPr>
        <w:pStyle w:val="3"/>
        <w:spacing w:line="400" w:lineRule="exact"/>
        <w:jc w:val="center"/>
        <w:rPr>
          <w:rFonts w:ascii="宋体" w:hAnsi="宋体" w:eastAsia="宋体"/>
          <w:sz w:val="32"/>
        </w:rPr>
      </w:pPr>
      <w:r>
        <w:rPr>
          <w:rFonts w:hint="eastAsia" w:ascii="宋体" w:hAnsi="宋体" w:eastAsia="宋体"/>
          <w:sz w:val="32"/>
        </w:rPr>
        <w:t>七、商务应答表</w:t>
      </w:r>
    </w:p>
    <w:tbl>
      <w:tblPr>
        <w:tblStyle w:val="23"/>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14:paraId="2074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724BE11">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14:paraId="05159EDD">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14:paraId="4EF79656">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14:paraId="7AE1E3D0">
            <w:pPr>
              <w:jc w:val="center"/>
              <w:rPr>
                <w:rFonts w:ascii="宋体" w:hAnsi="宋体" w:eastAsia="宋体" w:cs="仿宋"/>
                <w:b/>
                <w:bCs/>
                <w:sz w:val="22"/>
              </w:rPr>
            </w:pPr>
            <w:r>
              <w:rPr>
                <w:rFonts w:hint="eastAsia" w:ascii="宋体" w:hAnsi="宋体" w:eastAsia="宋体" w:cs="仿宋"/>
                <w:b/>
                <w:bCs/>
                <w:sz w:val="22"/>
              </w:rPr>
              <w:t>差异说明</w:t>
            </w:r>
          </w:p>
          <w:p w14:paraId="69862AD8">
            <w:pPr>
              <w:jc w:val="center"/>
              <w:rPr>
                <w:rFonts w:ascii="宋体" w:hAnsi="宋体" w:eastAsia="宋体" w:cs="仿宋"/>
                <w:b/>
                <w:bCs/>
                <w:sz w:val="22"/>
              </w:rPr>
            </w:pPr>
            <w:r>
              <w:rPr>
                <w:rFonts w:hint="eastAsia" w:ascii="宋体" w:hAnsi="宋体" w:eastAsia="宋体" w:cs="仿宋"/>
                <w:b/>
                <w:bCs/>
                <w:sz w:val="22"/>
              </w:rPr>
              <w:t>（若有）</w:t>
            </w:r>
          </w:p>
        </w:tc>
      </w:tr>
      <w:tr w14:paraId="131A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151E3797">
            <w:pPr>
              <w:pStyle w:val="44"/>
              <w:jc w:val="center"/>
              <w:rPr>
                <w:rFonts w:ascii="宋体" w:hAnsi="宋体" w:eastAsia="宋体" w:cs="仿宋"/>
                <w:sz w:val="21"/>
                <w:szCs w:val="21"/>
              </w:rPr>
            </w:pPr>
          </w:p>
        </w:tc>
        <w:tc>
          <w:tcPr>
            <w:tcW w:w="3689" w:type="dxa"/>
            <w:vAlign w:val="center"/>
          </w:tcPr>
          <w:p w14:paraId="40DC83F1">
            <w:pPr>
              <w:pStyle w:val="44"/>
              <w:spacing w:line="360" w:lineRule="auto"/>
              <w:jc w:val="center"/>
              <w:rPr>
                <w:rFonts w:ascii="宋体" w:hAnsi="宋体" w:eastAsia="宋体" w:cs="仿宋"/>
                <w:sz w:val="21"/>
                <w:szCs w:val="21"/>
              </w:rPr>
            </w:pPr>
          </w:p>
        </w:tc>
        <w:tc>
          <w:tcPr>
            <w:tcW w:w="2263" w:type="dxa"/>
            <w:vAlign w:val="center"/>
          </w:tcPr>
          <w:p w14:paraId="5F0AE223">
            <w:pPr>
              <w:pStyle w:val="44"/>
              <w:spacing w:line="360" w:lineRule="auto"/>
              <w:jc w:val="center"/>
              <w:rPr>
                <w:rFonts w:ascii="宋体" w:hAnsi="宋体" w:eastAsia="宋体" w:cs="仿宋"/>
                <w:sz w:val="21"/>
                <w:szCs w:val="21"/>
              </w:rPr>
            </w:pPr>
          </w:p>
        </w:tc>
        <w:tc>
          <w:tcPr>
            <w:tcW w:w="2263" w:type="dxa"/>
            <w:vAlign w:val="center"/>
          </w:tcPr>
          <w:p w14:paraId="70154186">
            <w:pPr>
              <w:pStyle w:val="44"/>
              <w:spacing w:line="360" w:lineRule="auto"/>
              <w:jc w:val="center"/>
              <w:rPr>
                <w:rFonts w:ascii="宋体" w:hAnsi="宋体" w:eastAsia="宋体" w:cs="仿宋"/>
                <w:sz w:val="21"/>
                <w:szCs w:val="21"/>
              </w:rPr>
            </w:pPr>
          </w:p>
        </w:tc>
      </w:tr>
      <w:tr w14:paraId="0D31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608B5992">
            <w:pPr>
              <w:pStyle w:val="44"/>
              <w:jc w:val="center"/>
              <w:rPr>
                <w:rFonts w:ascii="宋体" w:hAnsi="宋体" w:eastAsia="宋体" w:cs="仿宋"/>
                <w:sz w:val="21"/>
                <w:szCs w:val="21"/>
              </w:rPr>
            </w:pPr>
          </w:p>
        </w:tc>
        <w:tc>
          <w:tcPr>
            <w:tcW w:w="3689" w:type="dxa"/>
            <w:vAlign w:val="center"/>
          </w:tcPr>
          <w:p w14:paraId="4D61DCCE">
            <w:pPr>
              <w:pStyle w:val="44"/>
              <w:jc w:val="center"/>
              <w:rPr>
                <w:rFonts w:ascii="宋体" w:hAnsi="宋体" w:eastAsia="宋体" w:cs="仿宋"/>
                <w:sz w:val="21"/>
                <w:szCs w:val="21"/>
              </w:rPr>
            </w:pPr>
          </w:p>
        </w:tc>
        <w:tc>
          <w:tcPr>
            <w:tcW w:w="2263" w:type="dxa"/>
            <w:vAlign w:val="center"/>
          </w:tcPr>
          <w:p w14:paraId="3DAA0B60">
            <w:pPr>
              <w:pStyle w:val="44"/>
              <w:jc w:val="center"/>
              <w:rPr>
                <w:rFonts w:ascii="宋体" w:hAnsi="宋体" w:eastAsia="宋体" w:cs="仿宋"/>
                <w:sz w:val="21"/>
                <w:szCs w:val="21"/>
              </w:rPr>
            </w:pPr>
          </w:p>
        </w:tc>
        <w:tc>
          <w:tcPr>
            <w:tcW w:w="2263" w:type="dxa"/>
            <w:vAlign w:val="center"/>
          </w:tcPr>
          <w:p w14:paraId="0F66D21E">
            <w:pPr>
              <w:pStyle w:val="44"/>
              <w:jc w:val="center"/>
              <w:rPr>
                <w:rFonts w:ascii="宋体" w:hAnsi="宋体" w:eastAsia="宋体" w:cs="仿宋"/>
                <w:sz w:val="21"/>
                <w:szCs w:val="21"/>
              </w:rPr>
            </w:pPr>
          </w:p>
        </w:tc>
      </w:tr>
      <w:tr w14:paraId="7132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22008518">
            <w:pPr>
              <w:pStyle w:val="44"/>
              <w:jc w:val="center"/>
              <w:rPr>
                <w:rFonts w:ascii="宋体" w:hAnsi="宋体" w:eastAsia="宋体" w:cs="仿宋"/>
                <w:sz w:val="21"/>
                <w:szCs w:val="21"/>
              </w:rPr>
            </w:pPr>
          </w:p>
        </w:tc>
        <w:tc>
          <w:tcPr>
            <w:tcW w:w="3689" w:type="dxa"/>
            <w:vAlign w:val="center"/>
          </w:tcPr>
          <w:p w14:paraId="623CB1B1">
            <w:pPr>
              <w:pStyle w:val="44"/>
              <w:jc w:val="center"/>
              <w:rPr>
                <w:rFonts w:ascii="宋体" w:hAnsi="宋体" w:eastAsia="宋体" w:cs="仿宋"/>
                <w:sz w:val="21"/>
                <w:szCs w:val="21"/>
              </w:rPr>
            </w:pPr>
          </w:p>
        </w:tc>
        <w:tc>
          <w:tcPr>
            <w:tcW w:w="2263" w:type="dxa"/>
            <w:vAlign w:val="center"/>
          </w:tcPr>
          <w:p w14:paraId="528277A7">
            <w:pPr>
              <w:pStyle w:val="44"/>
              <w:jc w:val="center"/>
              <w:rPr>
                <w:rFonts w:ascii="宋体" w:hAnsi="宋体" w:eastAsia="宋体" w:cs="仿宋"/>
                <w:sz w:val="21"/>
                <w:szCs w:val="21"/>
              </w:rPr>
            </w:pPr>
          </w:p>
        </w:tc>
        <w:tc>
          <w:tcPr>
            <w:tcW w:w="2263" w:type="dxa"/>
            <w:vAlign w:val="center"/>
          </w:tcPr>
          <w:p w14:paraId="3EDF1991">
            <w:pPr>
              <w:pStyle w:val="44"/>
              <w:jc w:val="center"/>
              <w:rPr>
                <w:rFonts w:ascii="宋体" w:hAnsi="宋体" w:eastAsia="宋体" w:cs="仿宋"/>
                <w:sz w:val="21"/>
                <w:szCs w:val="21"/>
              </w:rPr>
            </w:pPr>
          </w:p>
        </w:tc>
      </w:tr>
      <w:tr w14:paraId="257A1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08B29047">
            <w:pPr>
              <w:pStyle w:val="44"/>
              <w:jc w:val="center"/>
              <w:rPr>
                <w:rFonts w:ascii="宋体" w:hAnsi="宋体" w:eastAsia="宋体" w:cs="仿宋"/>
                <w:sz w:val="21"/>
                <w:szCs w:val="21"/>
              </w:rPr>
            </w:pPr>
          </w:p>
        </w:tc>
        <w:tc>
          <w:tcPr>
            <w:tcW w:w="3689" w:type="dxa"/>
            <w:vAlign w:val="center"/>
          </w:tcPr>
          <w:p w14:paraId="104F0A34">
            <w:pPr>
              <w:pStyle w:val="44"/>
              <w:jc w:val="center"/>
              <w:rPr>
                <w:rFonts w:ascii="宋体" w:hAnsi="宋体" w:eastAsia="宋体" w:cs="仿宋"/>
                <w:sz w:val="21"/>
                <w:szCs w:val="21"/>
              </w:rPr>
            </w:pPr>
          </w:p>
        </w:tc>
        <w:tc>
          <w:tcPr>
            <w:tcW w:w="2263" w:type="dxa"/>
            <w:vAlign w:val="center"/>
          </w:tcPr>
          <w:p w14:paraId="1CB242F0">
            <w:pPr>
              <w:pStyle w:val="44"/>
              <w:jc w:val="center"/>
              <w:rPr>
                <w:rFonts w:ascii="宋体" w:hAnsi="宋体" w:eastAsia="宋体" w:cs="仿宋"/>
                <w:sz w:val="21"/>
                <w:szCs w:val="21"/>
              </w:rPr>
            </w:pPr>
          </w:p>
        </w:tc>
        <w:tc>
          <w:tcPr>
            <w:tcW w:w="2263" w:type="dxa"/>
            <w:vAlign w:val="center"/>
          </w:tcPr>
          <w:p w14:paraId="33031B6C">
            <w:pPr>
              <w:pStyle w:val="44"/>
              <w:jc w:val="center"/>
              <w:rPr>
                <w:rFonts w:ascii="宋体" w:hAnsi="宋体" w:eastAsia="宋体" w:cs="仿宋"/>
                <w:sz w:val="21"/>
                <w:szCs w:val="21"/>
              </w:rPr>
            </w:pPr>
          </w:p>
        </w:tc>
      </w:tr>
      <w:tr w14:paraId="274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8696333">
            <w:pPr>
              <w:pStyle w:val="44"/>
              <w:jc w:val="center"/>
              <w:rPr>
                <w:rFonts w:ascii="宋体" w:hAnsi="宋体" w:eastAsia="宋体" w:cs="仿宋"/>
                <w:sz w:val="21"/>
                <w:szCs w:val="21"/>
              </w:rPr>
            </w:pPr>
          </w:p>
        </w:tc>
        <w:tc>
          <w:tcPr>
            <w:tcW w:w="3689" w:type="dxa"/>
            <w:vAlign w:val="center"/>
          </w:tcPr>
          <w:p w14:paraId="400A6527">
            <w:pPr>
              <w:pStyle w:val="44"/>
              <w:jc w:val="center"/>
              <w:rPr>
                <w:rFonts w:ascii="宋体" w:hAnsi="宋体" w:eastAsia="宋体" w:cs="仿宋"/>
                <w:sz w:val="21"/>
                <w:szCs w:val="21"/>
              </w:rPr>
            </w:pPr>
          </w:p>
        </w:tc>
        <w:tc>
          <w:tcPr>
            <w:tcW w:w="2263" w:type="dxa"/>
            <w:vAlign w:val="center"/>
          </w:tcPr>
          <w:p w14:paraId="4530A146">
            <w:pPr>
              <w:pStyle w:val="44"/>
              <w:jc w:val="center"/>
              <w:rPr>
                <w:rFonts w:ascii="宋体" w:hAnsi="宋体" w:eastAsia="宋体" w:cs="仿宋"/>
                <w:sz w:val="21"/>
                <w:szCs w:val="21"/>
              </w:rPr>
            </w:pPr>
          </w:p>
        </w:tc>
        <w:tc>
          <w:tcPr>
            <w:tcW w:w="2263" w:type="dxa"/>
            <w:vAlign w:val="center"/>
          </w:tcPr>
          <w:p w14:paraId="125A187A">
            <w:pPr>
              <w:pStyle w:val="44"/>
              <w:jc w:val="center"/>
              <w:rPr>
                <w:rFonts w:ascii="宋体" w:hAnsi="宋体" w:eastAsia="宋体" w:cs="仿宋"/>
                <w:sz w:val="21"/>
                <w:szCs w:val="21"/>
              </w:rPr>
            </w:pPr>
          </w:p>
        </w:tc>
      </w:tr>
      <w:tr w14:paraId="2343F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0EDBEDB">
            <w:pPr>
              <w:pStyle w:val="44"/>
              <w:jc w:val="center"/>
              <w:rPr>
                <w:rFonts w:ascii="宋体" w:hAnsi="宋体" w:eastAsia="宋体" w:cs="仿宋"/>
                <w:sz w:val="21"/>
                <w:szCs w:val="21"/>
              </w:rPr>
            </w:pPr>
          </w:p>
        </w:tc>
        <w:tc>
          <w:tcPr>
            <w:tcW w:w="3689" w:type="dxa"/>
            <w:vAlign w:val="center"/>
          </w:tcPr>
          <w:p w14:paraId="6F2268DF">
            <w:pPr>
              <w:pStyle w:val="44"/>
              <w:jc w:val="center"/>
              <w:rPr>
                <w:rFonts w:ascii="宋体" w:hAnsi="宋体" w:eastAsia="宋体" w:cs="仿宋"/>
                <w:sz w:val="21"/>
                <w:szCs w:val="21"/>
              </w:rPr>
            </w:pPr>
          </w:p>
        </w:tc>
        <w:tc>
          <w:tcPr>
            <w:tcW w:w="2263" w:type="dxa"/>
            <w:vAlign w:val="center"/>
          </w:tcPr>
          <w:p w14:paraId="3B41EEA0">
            <w:pPr>
              <w:pStyle w:val="44"/>
              <w:jc w:val="center"/>
              <w:rPr>
                <w:rFonts w:ascii="宋体" w:hAnsi="宋体" w:eastAsia="宋体" w:cs="仿宋"/>
                <w:sz w:val="21"/>
                <w:szCs w:val="21"/>
              </w:rPr>
            </w:pPr>
          </w:p>
        </w:tc>
        <w:tc>
          <w:tcPr>
            <w:tcW w:w="2263" w:type="dxa"/>
            <w:vAlign w:val="center"/>
          </w:tcPr>
          <w:p w14:paraId="76B87723">
            <w:pPr>
              <w:pStyle w:val="44"/>
              <w:jc w:val="center"/>
              <w:rPr>
                <w:rFonts w:ascii="宋体" w:hAnsi="宋体" w:eastAsia="宋体" w:cs="仿宋"/>
                <w:sz w:val="21"/>
                <w:szCs w:val="21"/>
              </w:rPr>
            </w:pPr>
          </w:p>
        </w:tc>
      </w:tr>
      <w:tr w14:paraId="50E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14:paraId="7F8730DB">
            <w:pPr>
              <w:pStyle w:val="44"/>
              <w:jc w:val="center"/>
              <w:rPr>
                <w:rFonts w:ascii="宋体" w:hAnsi="宋体" w:eastAsia="宋体" w:cs="仿宋"/>
                <w:sz w:val="21"/>
                <w:szCs w:val="21"/>
              </w:rPr>
            </w:pPr>
          </w:p>
        </w:tc>
        <w:tc>
          <w:tcPr>
            <w:tcW w:w="3689" w:type="dxa"/>
            <w:vAlign w:val="center"/>
          </w:tcPr>
          <w:p w14:paraId="63D2FDCF">
            <w:pPr>
              <w:pStyle w:val="44"/>
              <w:jc w:val="center"/>
              <w:rPr>
                <w:rFonts w:ascii="宋体" w:hAnsi="宋体" w:eastAsia="宋体" w:cs="仿宋"/>
                <w:sz w:val="21"/>
                <w:szCs w:val="21"/>
              </w:rPr>
            </w:pPr>
          </w:p>
        </w:tc>
        <w:tc>
          <w:tcPr>
            <w:tcW w:w="2263" w:type="dxa"/>
            <w:vAlign w:val="center"/>
          </w:tcPr>
          <w:p w14:paraId="0CFE6B13">
            <w:pPr>
              <w:pStyle w:val="44"/>
              <w:jc w:val="center"/>
              <w:rPr>
                <w:rFonts w:ascii="宋体" w:hAnsi="宋体" w:eastAsia="宋体" w:cs="仿宋"/>
                <w:sz w:val="21"/>
                <w:szCs w:val="21"/>
              </w:rPr>
            </w:pPr>
          </w:p>
        </w:tc>
        <w:tc>
          <w:tcPr>
            <w:tcW w:w="2263" w:type="dxa"/>
            <w:vAlign w:val="center"/>
          </w:tcPr>
          <w:p w14:paraId="7C112A84">
            <w:pPr>
              <w:pStyle w:val="44"/>
              <w:jc w:val="center"/>
              <w:rPr>
                <w:rFonts w:ascii="宋体" w:hAnsi="宋体" w:eastAsia="宋体" w:cs="仿宋"/>
                <w:sz w:val="21"/>
                <w:szCs w:val="21"/>
              </w:rPr>
            </w:pPr>
          </w:p>
        </w:tc>
      </w:tr>
      <w:tr w14:paraId="44BB6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14:paraId="61A71C4A">
            <w:pPr>
              <w:pStyle w:val="44"/>
              <w:jc w:val="center"/>
              <w:rPr>
                <w:rFonts w:ascii="宋体" w:hAnsi="宋体" w:eastAsia="宋体" w:cs="仿宋"/>
                <w:sz w:val="21"/>
                <w:szCs w:val="21"/>
              </w:rPr>
            </w:pPr>
          </w:p>
        </w:tc>
        <w:tc>
          <w:tcPr>
            <w:tcW w:w="3689" w:type="dxa"/>
            <w:vAlign w:val="center"/>
          </w:tcPr>
          <w:p w14:paraId="057B8FF3">
            <w:pPr>
              <w:pStyle w:val="44"/>
              <w:jc w:val="center"/>
              <w:rPr>
                <w:rFonts w:ascii="宋体" w:hAnsi="宋体" w:eastAsia="宋体" w:cs="仿宋"/>
                <w:sz w:val="21"/>
                <w:szCs w:val="21"/>
              </w:rPr>
            </w:pPr>
          </w:p>
        </w:tc>
        <w:tc>
          <w:tcPr>
            <w:tcW w:w="2263" w:type="dxa"/>
            <w:vAlign w:val="center"/>
          </w:tcPr>
          <w:p w14:paraId="07E88C4D">
            <w:pPr>
              <w:pStyle w:val="44"/>
              <w:jc w:val="center"/>
              <w:rPr>
                <w:rFonts w:ascii="宋体" w:hAnsi="宋体" w:eastAsia="宋体" w:cs="仿宋"/>
                <w:sz w:val="21"/>
                <w:szCs w:val="21"/>
              </w:rPr>
            </w:pPr>
          </w:p>
        </w:tc>
        <w:tc>
          <w:tcPr>
            <w:tcW w:w="2263" w:type="dxa"/>
            <w:vAlign w:val="center"/>
          </w:tcPr>
          <w:p w14:paraId="6E4AEACA">
            <w:pPr>
              <w:pStyle w:val="44"/>
              <w:jc w:val="center"/>
              <w:rPr>
                <w:rFonts w:ascii="宋体" w:hAnsi="宋体" w:eastAsia="宋体" w:cs="仿宋"/>
                <w:sz w:val="21"/>
                <w:szCs w:val="21"/>
              </w:rPr>
            </w:pPr>
          </w:p>
        </w:tc>
      </w:tr>
    </w:tbl>
    <w:p w14:paraId="5E4F3742">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14:paraId="3F2ED95F">
      <w:pPr>
        <w:adjustRightInd w:val="0"/>
        <w:spacing w:line="560" w:lineRule="exact"/>
        <w:ind w:firstLine="480" w:firstLineChars="200"/>
        <w:jc w:val="left"/>
        <w:rPr>
          <w:rFonts w:ascii="宋体" w:hAnsi="宋体" w:eastAsia="宋体"/>
          <w:sz w:val="24"/>
        </w:rPr>
      </w:pPr>
    </w:p>
    <w:p w14:paraId="7636BABD">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14:paraId="34AB9D99">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14:paraId="546BD800">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14:paraId="49A8D43F">
      <w:pPr>
        <w:spacing w:line="560" w:lineRule="exact"/>
        <w:ind w:firstLine="200"/>
        <w:rPr>
          <w:rFonts w:ascii="宋体" w:hAnsi="宋体" w:eastAsia="宋体"/>
          <w:bCs/>
          <w:sz w:val="24"/>
        </w:rPr>
      </w:pPr>
      <w:r>
        <w:rPr>
          <w:rFonts w:hint="eastAsia" w:ascii="宋体" w:hAnsi="宋体" w:eastAsia="宋体"/>
          <w:bCs/>
          <w:sz w:val="24"/>
        </w:rPr>
        <w:br w:type="page"/>
      </w:r>
    </w:p>
    <w:p w14:paraId="24D36750">
      <w:pPr>
        <w:pStyle w:val="3"/>
        <w:spacing w:line="400" w:lineRule="exact"/>
        <w:jc w:val="center"/>
        <w:rPr>
          <w:rFonts w:ascii="宋体" w:hAnsi="宋体" w:eastAsia="宋体"/>
          <w:sz w:val="32"/>
        </w:rPr>
      </w:pPr>
      <w:r>
        <w:rPr>
          <w:rFonts w:hint="eastAsia" w:ascii="宋体" w:hAnsi="宋体" w:eastAsia="宋体"/>
          <w:sz w:val="32"/>
        </w:rPr>
        <w:t xml:space="preserve">八、报价一览表 </w:t>
      </w:r>
    </w:p>
    <w:p w14:paraId="120AB2DB">
      <w:pPr>
        <w:rPr>
          <w:rFonts w:ascii="宋体" w:hAnsi="宋体" w:eastAsia="宋体" w:cs="仿宋"/>
          <w:sz w:val="24"/>
          <w:szCs w:val="24"/>
        </w:rPr>
      </w:pPr>
    </w:p>
    <w:p w14:paraId="085614DA">
      <w:pPr>
        <w:rPr>
          <w:rFonts w:ascii="宋体" w:hAnsi="宋体" w:eastAsia="宋体" w:cs="仿宋"/>
          <w:sz w:val="24"/>
          <w:szCs w:val="24"/>
        </w:rPr>
      </w:pPr>
    </w:p>
    <w:p w14:paraId="1F131151">
      <w:pPr>
        <w:rPr>
          <w:rFonts w:ascii="宋体" w:hAnsi="宋体" w:eastAsia="宋体" w:cs="仿宋"/>
          <w:sz w:val="24"/>
          <w:szCs w:val="24"/>
        </w:rPr>
      </w:pPr>
      <w:r>
        <w:rPr>
          <w:rFonts w:hint="eastAsia" w:ascii="宋体" w:hAnsi="宋体" w:eastAsia="宋体" w:cs="仿宋"/>
          <w:sz w:val="24"/>
          <w:szCs w:val="24"/>
        </w:rPr>
        <w:t xml:space="preserve">项目名称：                                                                          </w:t>
      </w:r>
    </w:p>
    <w:p w14:paraId="1E9DE246">
      <w:pPr>
        <w:rPr>
          <w:rFonts w:ascii="宋体" w:hAnsi="宋体" w:eastAsia="宋体" w:cs="仿宋"/>
          <w:sz w:val="24"/>
          <w:szCs w:val="24"/>
        </w:rPr>
      </w:pPr>
      <w:r>
        <w:rPr>
          <w:rFonts w:hint="eastAsia" w:ascii="宋体" w:hAnsi="宋体" w:eastAsia="宋体" w:cs="仿宋"/>
          <w:sz w:val="24"/>
          <w:szCs w:val="24"/>
        </w:rPr>
        <w:t>项目编号：</w:t>
      </w:r>
    </w:p>
    <w:p w14:paraId="459BA92E">
      <w:pPr>
        <w:rPr>
          <w:rFonts w:ascii="宋体" w:hAnsi="宋体" w:eastAsia="宋体" w:cs="仿宋"/>
          <w:sz w:val="24"/>
          <w:szCs w:val="24"/>
        </w:rPr>
      </w:pPr>
      <w:r>
        <w:rPr>
          <w:rFonts w:hint="eastAsia" w:ascii="宋体" w:hAnsi="宋体" w:eastAsia="宋体" w:cs="仿宋"/>
          <w:sz w:val="24"/>
          <w:szCs w:val="24"/>
        </w:rPr>
        <w:t>包号：</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6840"/>
      </w:tblGrid>
      <w:tr w14:paraId="042ED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2448" w:type="dxa"/>
            <w:vAlign w:val="center"/>
          </w:tcPr>
          <w:p w14:paraId="410E6129">
            <w:pPr>
              <w:rPr>
                <w:rFonts w:ascii="宋体" w:hAnsi="宋体" w:eastAsia="宋体" w:cs="仿宋"/>
                <w:sz w:val="24"/>
                <w:szCs w:val="24"/>
              </w:rPr>
            </w:pPr>
            <w:r>
              <w:rPr>
                <w:rFonts w:hint="eastAsia" w:ascii="宋体" w:hAnsi="宋体" w:eastAsia="宋体" w:cs="仿宋"/>
                <w:sz w:val="24"/>
                <w:szCs w:val="24"/>
              </w:rPr>
              <w:t>项目名称</w:t>
            </w:r>
          </w:p>
        </w:tc>
        <w:tc>
          <w:tcPr>
            <w:tcW w:w="6840" w:type="dxa"/>
            <w:vAlign w:val="center"/>
          </w:tcPr>
          <w:p w14:paraId="0A5BE6BE">
            <w:pPr>
              <w:rPr>
                <w:rFonts w:ascii="宋体" w:hAnsi="宋体" w:eastAsia="宋体" w:cs="仿宋"/>
                <w:sz w:val="24"/>
                <w:szCs w:val="24"/>
              </w:rPr>
            </w:pPr>
          </w:p>
        </w:tc>
      </w:tr>
      <w:tr w14:paraId="5638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trPr>
        <w:tc>
          <w:tcPr>
            <w:tcW w:w="2448" w:type="dxa"/>
            <w:vAlign w:val="center"/>
          </w:tcPr>
          <w:p w14:paraId="183E24EF">
            <w:pPr>
              <w:rPr>
                <w:rFonts w:ascii="宋体" w:hAnsi="宋体" w:eastAsia="宋体" w:cs="仿宋"/>
                <w:sz w:val="24"/>
                <w:szCs w:val="24"/>
              </w:rPr>
            </w:pPr>
            <w:r>
              <w:rPr>
                <w:rFonts w:hint="eastAsia" w:ascii="宋体" w:hAnsi="宋体" w:eastAsia="宋体" w:cs="仿宋"/>
                <w:sz w:val="24"/>
                <w:szCs w:val="24"/>
              </w:rPr>
              <w:t>投标报价</w:t>
            </w:r>
          </w:p>
        </w:tc>
        <w:tc>
          <w:tcPr>
            <w:tcW w:w="6840" w:type="dxa"/>
            <w:vAlign w:val="center"/>
          </w:tcPr>
          <w:p w14:paraId="6CE0000C">
            <w:pPr>
              <w:rPr>
                <w:rFonts w:ascii="宋体" w:hAnsi="宋体" w:eastAsia="宋体" w:cs="仿宋"/>
                <w:sz w:val="24"/>
                <w:szCs w:val="24"/>
              </w:rPr>
            </w:pPr>
            <w:r>
              <w:rPr>
                <w:rFonts w:hint="eastAsia" w:ascii="宋体" w:hAnsi="宋体" w:eastAsia="宋体" w:cs="仿宋"/>
                <w:sz w:val="24"/>
                <w:szCs w:val="24"/>
              </w:rPr>
              <w:t xml:space="preserve">1.我方自愿按照招标文件规定的各项要求向采购人提供所需服务，投标报价如下:                  </w:t>
            </w:r>
          </w:p>
        </w:tc>
      </w:tr>
      <w:tr w14:paraId="66CE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3BDBE7D1">
            <w:pPr>
              <w:rPr>
                <w:rFonts w:ascii="宋体" w:hAnsi="宋体" w:eastAsia="宋体" w:cs="仿宋"/>
                <w:sz w:val="24"/>
                <w:szCs w:val="24"/>
              </w:rPr>
            </w:pPr>
            <w:r>
              <w:rPr>
                <w:rFonts w:hint="eastAsia" w:ascii="宋体" w:hAnsi="宋体" w:eastAsia="宋体" w:cs="仿宋"/>
                <w:sz w:val="24"/>
                <w:szCs w:val="24"/>
              </w:rPr>
              <w:t>服务周期</w:t>
            </w:r>
          </w:p>
        </w:tc>
        <w:tc>
          <w:tcPr>
            <w:tcW w:w="6840" w:type="dxa"/>
            <w:vAlign w:val="center"/>
          </w:tcPr>
          <w:p w14:paraId="34D9BC02">
            <w:pPr>
              <w:rPr>
                <w:rFonts w:ascii="宋体" w:hAnsi="宋体" w:eastAsia="宋体" w:cs="仿宋"/>
                <w:sz w:val="24"/>
                <w:szCs w:val="24"/>
              </w:rPr>
            </w:pPr>
          </w:p>
        </w:tc>
      </w:tr>
      <w:tr w14:paraId="0E5B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2448" w:type="dxa"/>
            <w:vAlign w:val="center"/>
          </w:tcPr>
          <w:p w14:paraId="1A22A615">
            <w:pPr>
              <w:rPr>
                <w:rFonts w:ascii="宋体" w:hAnsi="宋体" w:eastAsia="宋体" w:cs="仿宋"/>
                <w:sz w:val="24"/>
                <w:szCs w:val="24"/>
              </w:rPr>
            </w:pPr>
            <w:r>
              <w:rPr>
                <w:rFonts w:hint="eastAsia" w:ascii="宋体" w:hAnsi="宋体" w:eastAsia="宋体" w:cs="仿宋"/>
                <w:sz w:val="24"/>
                <w:szCs w:val="24"/>
              </w:rPr>
              <w:t>备    注</w:t>
            </w:r>
          </w:p>
        </w:tc>
        <w:tc>
          <w:tcPr>
            <w:tcW w:w="6840" w:type="dxa"/>
            <w:vAlign w:val="center"/>
          </w:tcPr>
          <w:p w14:paraId="34BF4092">
            <w:pPr>
              <w:rPr>
                <w:rFonts w:ascii="宋体" w:hAnsi="宋体" w:eastAsia="宋体" w:cs="仿宋"/>
                <w:sz w:val="24"/>
                <w:szCs w:val="24"/>
              </w:rPr>
            </w:pPr>
          </w:p>
        </w:tc>
      </w:tr>
    </w:tbl>
    <w:p w14:paraId="3F20A078">
      <w:pPr>
        <w:rPr>
          <w:rFonts w:ascii="宋体" w:hAnsi="宋体" w:eastAsia="宋体"/>
        </w:rPr>
      </w:pPr>
    </w:p>
    <w:p w14:paraId="47B1E9D9">
      <w:pPr>
        <w:pStyle w:val="21"/>
        <w:rPr>
          <w:rFonts w:eastAsia="宋体"/>
        </w:rPr>
      </w:pPr>
    </w:p>
    <w:p w14:paraId="1486C68B">
      <w:pPr>
        <w:pStyle w:val="21"/>
        <w:rPr>
          <w:rFonts w:eastAsia="宋体"/>
        </w:rPr>
      </w:pPr>
    </w:p>
    <w:p w14:paraId="1403C82E">
      <w:pPr>
        <w:pStyle w:val="21"/>
        <w:rPr>
          <w:rFonts w:eastAsia="宋体"/>
        </w:rPr>
      </w:pPr>
    </w:p>
    <w:p w14:paraId="688676CA">
      <w:pPr>
        <w:pStyle w:val="21"/>
        <w:rPr>
          <w:rFonts w:eastAsia="宋体"/>
        </w:rPr>
      </w:pPr>
    </w:p>
    <w:p w14:paraId="14EA85B6">
      <w:pPr>
        <w:pStyle w:val="21"/>
        <w:rPr>
          <w:rFonts w:eastAsia="宋体"/>
        </w:rPr>
      </w:pPr>
    </w:p>
    <w:p w14:paraId="0AD4D8B7">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14:paraId="55C1855E">
      <w:pPr>
        <w:jc w:val="left"/>
        <w:rPr>
          <w:rFonts w:ascii="宋体" w:hAnsi="宋体" w:eastAsia="宋体"/>
          <w:sz w:val="24"/>
        </w:rPr>
      </w:pPr>
      <w:r>
        <w:rPr>
          <w:rFonts w:hint="eastAsia" w:ascii="宋体" w:hAnsi="宋体" w:eastAsia="宋体"/>
          <w:sz w:val="24"/>
        </w:rPr>
        <w:t>法定代表人/单位负责人或授权代表（签字或加盖个人印章）：XXXX</w:t>
      </w:r>
    </w:p>
    <w:p w14:paraId="4C56EF9A">
      <w:pPr>
        <w:pStyle w:val="9"/>
        <w:rPr>
          <w:rFonts w:ascii="宋体" w:hAnsi="宋体" w:eastAsia="宋体"/>
          <w:sz w:val="24"/>
        </w:rPr>
      </w:pPr>
      <w:r>
        <w:rPr>
          <w:rFonts w:hint="eastAsia" w:ascii="宋体" w:hAnsi="宋体" w:eastAsia="宋体"/>
          <w:sz w:val="24"/>
        </w:rPr>
        <w:t>日期：XXXX</w:t>
      </w:r>
    </w:p>
    <w:p w14:paraId="484B52AF">
      <w:pPr>
        <w:rPr>
          <w:rFonts w:ascii="宋体" w:hAnsi="宋体" w:eastAsia="宋体"/>
          <w:sz w:val="24"/>
        </w:rPr>
      </w:pPr>
      <w:r>
        <w:rPr>
          <w:rFonts w:hint="eastAsia" w:ascii="宋体" w:hAnsi="宋体" w:eastAsia="宋体"/>
          <w:sz w:val="24"/>
        </w:rPr>
        <w:br w:type="page"/>
      </w:r>
    </w:p>
    <w:p w14:paraId="2930726B">
      <w:pPr>
        <w:pStyle w:val="3"/>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14:paraId="7749EE1B">
      <w:pPr>
        <w:ind w:firstLine="562" w:firstLineChars="200"/>
        <w:rPr>
          <w:rFonts w:ascii="宋体" w:hAnsi="宋体" w:eastAsia="宋体"/>
          <w:b/>
          <w:sz w:val="28"/>
          <w:szCs w:val="28"/>
        </w:rPr>
      </w:pPr>
    </w:p>
    <w:p w14:paraId="0FA028C6">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14:paraId="606A0492">
      <w:pPr>
        <w:jc w:val="center"/>
        <w:rPr>
          <w:rFonts w:ascii="宋体" w:hAnsi="宋体" w:eastAsia="宋体"/>
          <w:b/>
          <w:sz w:val="28"/>
          <w:szCs w:val="28"/>
        </w:rPr>
      </w:pPr>
    </w:p>
    <w:p w14:paraId="1902CD83">
      <w:pPr>
        <w:jc w:val="center"/>
        <w:rPr>
          <w:rFonts w:ascii="宋体" w:hAnsi="宋体" w:eastAsia="宋体"/>
          <w:b/>
          <w:sz w:val="28"/>
          <w:szCs w:val="28"/>
        </w:rPr>
      </w:pPr>
      <w:r>
        <w:rPr>
          <w:rFonts w:hint="eastAsia" w:ascii="宋体" w:hAnsi="宋体" w:eastAsia="宋体"/>
          <w:b/>
          <w:sz w:val="28"/>
          <w:szCs w:val="28"/>
        </w:rPr>
        <w:t>（格式自拟）</w:t>
      </w:r>
    </w:p>
    <w:p w14:paraId="76119BA0">
      <w:pPr>
        <w:rPr>
          <w:rFonts w:ascii="宋体" w:hAnsi="宋体" w:eastAsia="宋体"/>
        </w:rPr>
      </w:pPr>
      <w:r>
        <w:rPr>
          <w:rFonts w:ascii="宋体" w:hAnsi="宋体" w:eastAsia="宋体"/>
        </w:rPr>
        <w:br w:type="page"/>
      </w:r>
    </w:p>
    <w:p w14:paraId="5AC2AD64">
      <w:pPr>
        <w:pStyle w:val="2"/>
        <w:numPr>
          <w:ilvl w:val="0"/>
          <w:numId w:val="7"/>
        </w:numPr>
        <w:spacing w:before="0" w:after="0" w:line="240" w:lineRule="auto"/>
        <w:jc w:val="center"/>
        <w:rPr>
          <w:rFonts w:ascii="宋体" w:hAnsi="宋体" w:eastAsia="宋体"/>
          <w:color w:val="000000"/>
          <w:sz w:val="36"/>
          <w:szCs w:val="36"/>
        </w:rPr>
      </w:pPr>
      <w:bookmarkStart w:id="31" w:name="_Toc13707"/>
      <w:bookmarkStart w:id="32" w:name="_Toc26179"/>
      <w:bookmarkStart w:id="33" w:name="_Toc31585"/>
      <w:r>
        <w:rPr>
          <w:rFonts w:hint="eastAsia" w:ascii="宋体" w:hAnsi="宋体" w:eastAsia="宋体"/>
          <w:color w:val="000000"/>
          <w:sz w:val="36"/>
          <w:szCs w:val="36"/>
        </w:rPr>
        <w:t>采购合同条款（草案）</w:t>
      </w:r>
      <w:bookmarkEnd w:id="31"/>
      <w:bookmarkEnd w:id="32"/>
      <w:bookmarkEnd w:id="33"/>
    </w:p>
    <w:p w14:paraId="6FF3A796">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合同编号：______</w:t>
      </w:r>
    </w:p>
    <w:p w14:paraId="611D598C">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签订地点：______</w:t>
      </w:r>
    </w:p>
    <w:p w14:paraId="6990340B">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签订时间：______年______月______日</w:t>
      </w:r>
    </w:p>
    <w:p w14:paraId="062F7FBF">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lang w:eastAsia="zh-CN"/>
        </w:rPr>
        <w:t>比选人</w:t>
      </w:r>
      <w:r>
        <w:rPr>
          <w:rFonts w:hint="eastAsia" w:ascii="宋体" w:hAnsi="宋体" w:eastAsia="宋体"/>
          <w:bCs/>
          <w:sz w:val="24"/>
          <w:szCs w:val="24"/>
        </w:rPr>
        <w:t>（甲方）：______</w:t>
      </w:r>
    </w:p>
    <w:p w14:paraId="56C6CD83">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lang w:eastAsia="zh-CN"/>
        </w:rPr>
        <w:t>比选申请人</w:t>
      </w:r>
      <w:r>
        <w:rPr>
          <w:rFonts w:hint="eastAsia" w:ascii="宋体" w:hAnsi="宋体" w:eastAsia="宋体"/>
          <w:bCs/>
          <w:sz w:val="24"/>
          <w:szCs w:val="24"/>
        </w:rPr>
        <w:t>（乙方）：______</w:t>
      </w:r>
    </w:p>
    <w:p w14:paraId="317D25F2">
      <w:pPr>
        <w:pStyle w:val="13"/>
        <w:spacing w:line="400" w:lineRule="exact"/>
        <w:ind w:firstLine="480" w:firstLineChars="200"/>
        <w:rPr>
          <w:rFonts w:hint="eastAsia" w:ascii="宋体" w:hAnsi="宋体" w:eastAsia="宋体"/>
          <w:bCs/>
          <w:sz w:val="24"/>
          <w:szCs w:val="24"/>
        </w:rPr>
      </w:pPr>
    </w:p>
    <w:p w14:paraId="3AF4556F">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lang w:eastAsia="zh-CN"/>
        </w:rPr>
        <w:t>依据</w:t>
      </w:r>
      <w:r>
        <w:rPr>
          <w:rFonts w:hint="eastAsia" w:ascii="宋体" w:hAnsi="宋体" w:eastAsia="宋体"/>
          <w:bCs/>
          <w:sz w:val="24"/>
          <w:szCs w:val="24"/>
        </w:rPr>
        <w:t>《中华人民共和国</w:t>
      </w:r>
      <w:r>
        <w:rPr>
          <w:rFonts w:hint="eastAsia" w:ascii="宋体" w:hAnsi="宋体" w:eastAsia="宋体"/>
          <w:bCs/>
          <w:sz w:val="24"/>
          <w:szCs w:val="24"/>
          <w:lang w:eastAsia="zh-CN"/>
        </w:rPr>
        <w:t>民法典</w:t>
      </w:r>
      <w:r>
        <w:rPr>
          <w:rFonts w:hint="eastAsia" w:ascii="宋体" w:hAnsi="宋体" w:eastAsia="宋体"/>
          <w:bCs/>
          <w:sz w:val="24"/>
          <w:szCs w:val="24"/>
        </w:rPr>
        <w:t>》及____采购项目（项目编号：）的《文件》、乙方的《</w:t>
      </w:r>
      <w:r>
        <w:rPr>
          <w:rFonts w:hint="eastAsia" w:ascii="宋体" w:hAnsi="宋体" w:eastAsia="宋体"/>
          <w:bCs/>
          <w:sz w:val="24"/>
          <w:szCs w:val="24"/>
          <w:lang w:eastAsia="zh-CN"/>
        </w:rPr>
        <w:t>比选申请文件</w:t>
      </w:r>
      <w:r>
        <w:rPr>
          <w:rFonts w:hint="eastAsia" w:ascii="宋体" w:hAnsi="宋体" w:eastAsia="宋体"/>
          <w:bCs/>
          <w:sz w:val="24"/>
          <w:szCs w:val="24"/>
        </w:rPr>
        <w:t>》及《成交通知书》，甲、乙双方同意签订本合同。详细技术说明及其他有关合同项目的特定信息由合同附件予以说明，合同附件及本项目的文件、</w:t>
      </w:r>
      <w:r>
        <w:rPr>
          <w:rFonts w:hint="eastAsia" w:ascii="宋体" w:hAnsi="宋体" w:eastAsia="宋体"/>
          <w:bCs/>
          <w:sz w:val="24"/>
          <w:szCs w:val="24"/>
          <w:lang w:eastAsia="zh-CN"/>
        </w:rPr>
        <w:t>比选申请文件</w:t>
      </w:r>
      <w:r>
        <w:rPr>
          <w:rFonts w:hint="eastAsia" w:ascii="宋体" w:hAnsi="宋体" w:eastAsia="宋体"/>
          <w:bCs/>
          <w:sz w:val="24"/>
          <w:szCs w:val="24"/>
        </w:rPr>
        <w:t>《成交通知书》等均为本合同不可分割的部分。双方同意共同遵守如下条款：</w:t>
      </w:r>
    </w:p>
    <w:p w14:paraId="3C4707B1">
      <w:pPr>
        <w:pStyle w:val="13"/>
        <w:spacing w:line="400" w:lineRule="exact"/>
        <w:ind w:firstLine="480" w:firstLineChars="200"/>
        <w:rPr>
          <w:rFonts w:hint="eastAsia" w:ascii="宋体" w:hAnsi="宋体" w:eastAsia="宋体"/>
          <w:bCs/>
          <w:sz w:val="24"/>
          <w:szCs w:val="24"/>
        </w:rPr>
      </w:pPr>
    </w:p>
    <w:p w14:paraId="033A5A2A">
      <w:pPr>
        <w:pStyle w:val="13"/>
        <w:spacing w:line="400" w:lineRule="exact"/>
        <w:ind w:left="0" w:leftChars="0" w:firstLine="480" w:firstLineChars="200"/>
        <w:rPr>
          <w:rFonts w:hint="eastAsia" w:ascii="宋体" w:hAnsi="宋体" w:eastAsia="宋体"/>
          <w:bCs/>
          <w:sz w:val="24"/>
          <w:szCs w:val="24"/>
        </w:rPr>
      </w:pPr>
      <w:r>
        <w:rPr>
          <w:rFonts w:hint="eastAsia" w:ascii="宋体" w:hAnsi="宋体" w:eastAsia="宋体"/>
          <w:bCs/>
          <w:sz w:val="24"/>
          <w:szCs w:val="24"/>
        </w:rPr>
        <w:t>1、中标人在收到招标人发出的《中标通知书》后，应在5个工作日内与采购人签订采购合同。由于中标人的原因逾期未与采购人签订采购合同的，将视为放弃中标，采购人有权取消其中标资格并将按相关规定进行处理。</w:t>
      </w:r>
    </w:p>
    <w:p w14:paraId="37B1AD66">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2、采购人不得向中标人提出任何不合理的要求，作为签订合同的条件，不得与中标人私下订立背离合同实质性内容的任何协议，所签订的合同不得对招标文件和中标人投标文件作实质性修改。</w:t>
      </w:r>
    </w:p>
    <w:p w14:paraId="391E5536">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3、 中标人因不可抗力原因不能履行采购合同或放弃中标的，采购人可以与排在中标人之后第一位的中标候选人签订采购合同，以此类推。</w:t>
      </w:r>
    </w:p>
    <w:p w14:paraId="26000F6D">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4、中标人在合同签订之后5个工作日内，将签订的合同原件（三份）送采购人。</w:t>
      </w:r>
    </w:p>
    <w:p w14:paraId="7B9685FD">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甲方:四川铁道职业学院          乙方：</w:t>
      </w:r>
    </w:p>
    <w:p w14:paraId="475F1FA4">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（盖章）                      （盖章）</w:t>
      </w:r>
    </w:p>
    <w:p w14:paraId="380A5051">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负责人（授权代表）：           法定代表人（授权代表）：</w:t>
      </w:r>
    </w:p>
    <w:p w14:paraId="4F998A86">
      <w:pPr>
        <w:pStyle w:val="13"/>
        <w:spacing w:line="400" w:lineRule="exact"/>
        <w:ind w:firstLine="480" w:firstLineChars="200"/>
        <w:rPr>
          <w:rFonts w:hint="eastAsia" w:ascii="宋体" w:hAnsi="宋体" w:eastAsia="宋体"/>
          <w:bCs/>
          <w:sz w:val="24"/>
          <w:szCs w:val="24"/>
        </w:rPr>
      </w:pPr>
    </w:p>
    <w:p w14:paraId="63C979F5">
      <w:pPr>
        <w:pStyle w:val="13"/>
        <w:spacing w:line="400" w:lineRule="exact"/>
        <w:ind w:firstLine="480" w:firstLineChars="200"/>
        <w:rPr>
          <w:rFonts w:hint="eastAsia" w:ascii="宋体" w:hAnsi="宋体" w:eastAsia="宋体"/>
          <w:bCs/>
          <w:sz w:val="24"/>
          <w:szCs w:val="24"/>
        </w:rPr>
      </w:pPr>
    </w:p>
    <w:p w14:paraId="4B446E5B">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 xml:space="preserve">地 址：成都市郫都区彭温路      地 址： </w:t>
      </w:r>
    </w:p>
    <w:p w14:paraId="02C07801">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 xml:space="preserve">399号                       </w:t>
      </w:r>
    </w:p>
    <w:p w14:paraId="4796687D">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 xml:space="preserve">开户银行：建设银行郫都支行     开户银行： </w:t>
      </w:r>
    </w:p>
    <w:p w14:paraId="2271FA90">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账号：51001597208051513002     账号：</w:t>
      </w:r>
    </w:p>
    <w:p w14:paraId="30DACCDE">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电 话：68939908                电 话：</w:t>
      </w:r>
    </w:p>
    <w:p w14:paraId="1051F452">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传 真：68939908                传 真：</w:t>
      </w:r>
    </w:p>
    <w:p w14:paraId="374DD369">
      <w:pPr>
        <w:pStyle w:val="13"/>
        <w:spacing w:line="400" w:lineRule="exact"/>
        <w:ind w:firstLine="480" w:firstLineChars="200"/>
        <w:rPr>
          <w:rFonts w:hint="eastAsia" w:ascii="宋体" w:hAnsi="宋体" w:eastAsia="宋体"/>
          <w:bCs/>
          <w:sz w:val="24"/>
          <w:szCs w:val="24"/>
        </w:rPr>
      </w:pPr>
      <w:r>
        <w:rPr>
          <w:rFonts w:hint="eastAsia" w:ascii="宋体" w:hAnsi="宋体" w:eastAsia="宋体"/>
          <w:bCs/>
          <w:sz w:val="24"/>
          <w:szCs w:val="24"/>
        </w:rPr>
        <w:t>签约日期：2024年  月  日      签约日期：2024年  月  日</w:t>
      </w:r>
    </w:p>
    <w:p w14:paraId="3A86E3CB"/>
    <w:p w14:paraId="692E1DCA">
      <w:pPr>
        <w:rPr>
          <w:rFonts w:ascii="宋体" w:hAnsi="宋体" w:eastAsia="宋体" w:cs="仿宋"/>
          <w:sz w:val="24"/>
          <w:szCs w:val="24"/>
        </w:rPr>
      </w:pPr>
    </w:p>
    <w:sectPr>
      <w:headerReference r:id="rId5" w:type="default"/>
      <w:pgSz w:w="11906" w:h="16838"/>
      <w:pgMar w:top="1701" w:right="1474" w:bottom="1440" w:left="1588" w:header="567"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65747">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28942">
                          <w:pPr>
                            <w:pStyle w:val="15"/>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6728942">
                    <w:pPr>
                      <w:pStyle w:val="15"/>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3593A">
    <w:pPr>
      <w:pStyle w:val="16"/>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A1464">
    <w:pPr>
      <w:pStyle w:val="16"/>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8663AF"/>
    <w:multiLevelType w:val="singleLevel"/>
    <w:tmpl w:val="A88663AF"/>
    <w:lvl w:ilvl="0" w:tentative="0">
      <w:start w:val="1"/>
      <w:numFmt w:val="decimal"/>
      <w:lvlText w:val="%1."/>
      <w:lvlJc w:val="left"/>
      <w:pPr>
        <w:tabs>
          <w:tab w:val="left" w:pos="312"/>
        </w:tabs>
      </w:pPr>
    </w:lvl>
  </w:abstractNum>
  <w:abstractNum w:abstractNumId="1">
    <w:nsid w:val="B8EA92CE"/>
    <w:multiLevelType w:val="singleLevel"/>
    <w:tmpl w:val="B8EA92CE"/>
    <w:lvl w:ilvl="0" w:tentative="0">
      <w:start w:val="1"/>
      <w:numFmt w:val="decimal"/>
      <w:lvlText w:val="%1."/>
      <w:lvlJc w:val="left"/>
      <w:pPr>
        <w:tabs>
          <w:tab w:val="left" w:pos="312"/>
        </w:tabs>
      </w:pPr>
    </w:lvl>
  </w:abstractNum>
  <w:abstractNum w:abstractNumId="2">
    <w:nsid w:val="D0CE6D09"/>
    <w:multiLevelType w:val="singleLevel"/>
    <w:tmpl w:val="D0CE6D09"/>
    <w:lvl w:ilvl="0" w:tentative="0">
      <w:start w:val="7"/>
      <w:numFmt w:val="chineseCounting"/>
      <w:suff w:val="space"/>
      <w:lvlText w:val="第%1章"/>
      <w:lvlJc w:val="left"/>
      <w:rPr>
        <w:rFonts w:hint="eastAsia"/>
        <w:lang w:val="en-US"/>
      </w:rPr>
    </w:lvl>
  </w:abstractNum>
  <w:abstractNum w:abstractNumId="3">
    <w:nsid w:val="F37FCBF2"/>
    <w:multiLevelType w:val="singleLevel"/>
    <w:tmpl w:val="F37FCBF2"/>
    <w:lvl w:ilvl="0" w:tentative="0">
      <w:start w:val="1"/>
      <w:numFmt w:val="chineseCounting"/>
      <w:suff w:val="nothing"/>
      <w:lvlText w:val="%1、"/>
      <w:lvlJc w:val="left"/>
      <w:rPr>
        <w:rFonts w:hint="eastAsia"/>
      </w:r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5A4FD20"/>
    <w:multiLevelType w:val="singleLevel"/>
    <w:tmpl w:val="55A4FD20"/>
    <w:lvl w:ilvl="0" w:tentative="0">
      <w:start w:val="8"/>
      <w:numFmt w:val="chineseCounting"/>
      <w:suff w:val="nothing"/>
      <w:lvlText w:val="%1、"/>
      <w:lvlJc w:val="left"/>
      <w:rPr>
        <w:rFonts w:hint="eastAsia"/>
      </w:rPr>
    </w:lvl>
  </w:abstractNum>
  <w:abstractNum w:abstractNumId="6">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4"/>
  </w:num>
  <w:num w:numId="2">
    <w:abstractNumId w:val="3"/>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1E3F30"/>
    <w:rsid w:val="0024094B"/>
    <w:rsid w:val="002503E2"/>
    <w:rsid w:val="002623F4"/>
    <w:rsid w:val="002F6A92"/>
    <w:rsid w:val="003069FB"/>
    <w:rsid w:val="00317144"/>
    <w:rsid w:val="00324A0A"/>
    <w:rsid w:val="00352A45"/>
    <w:rsid w:val="003569BD"/>
    <w:rsid w:val="00357EDC"/>
    <w:rsid w:val="003738CF"/>
    <w:rsid w:val="003834B9"/>
    <w:rsid w:val="003E3E28"/>
    <w:rsid w:val="003F2F4A"/>
    <w:rsid w:val="00401650"/>
    <w:rsid w:val="004318DE"/>
    <w:rsid w:val="00440DEA"/>
    <w:rsid w:val="00465DB1"/>
    <w:rsid w:val="00492A62"/>
    <w:rsid w:val="004A0014"/>
    <w:rsid w:val="004D029F"/>
    <w:rsid w:val="004E4695"/>
    <w:rsid w:val="004F5587"/>
    <w:rsid w:val="00505F07"/>
    <w:rsid w:val="00542BBB"/>
    <w:rsid w:val="00563636"/>
    <w:rsid w:val="005A403D"/>
    <w:rsid w:val="0060271B"/>
    <w:rsid w:val="00643ADE"/>
    <w:rsid w:val="006544EC"/>
    <w:rsid w:val="006556EA"/>
    <w:rsid w:val="00667426"/>
    <w:rsid w:val="006A3D57"/>
    <w:rsid w:val="006B5D0A"/>
    <w:rsid w:val="006C3663"/>
    <w:rsid w:val="0070549E"/>
    <w:rsid w:val="007778BD"/>
    <w:rsid w:val="007B6243"/>
    <w:rsid w:val="007E7A49"/>
    <w:rsid w:val="007F0BFD"/>
    <w:rsid w:val="00856815"/>
    <w:rsid w:val="008613D5"/>
    <w:rsid w:val="0087401B"/>
    <w:rsid w:val="00885EE5"/>
    <w:rsid w:val="008E5B26"/>
    <w:rsid w:val="00957BCC"/>
    <w:rsid w:val="009762EB"/>
    <w:rsid w:val="00985A74"/>
    <w:rsid w:val="009B7C41"/>
    <w:rsid w:val="009C3D5D"/>
    <w:rsid w:val="009D176B"/>
    <w:rsid w:val="00A00917"/>
    <w:rsid w:val="00A47E42"/>
    <w:rsid w:val="00A66191"/>
    <w:rsid w:val="00A8369C"/>
    <w:rsid w:val="00AD4593"/>
    <w:rsid w:val="00AE68DC"/>
    <w:rsid w:val="00AE6C72"/>
    <w:rsid w:val="00B13195"/>
    <w:rsid w:val="00B25D3E"/>
    <w:rsid w:val="00B311FF"/>
    <w:rsid w:val="00B6606D"/>
    <w:rsid w:val="00B779DC"/>
    <w:rsid w:val="00B94575"/>
    <w:rsid w:val="00B94CE5"/>
    <w:rsid w:val="00BB6994"/>
    <w:rsid w:val="00BC53E6"/>
    <w:rsid w:val="00C03CD7"/>
    <w:rsid w:val="00C05841"/>
    <w:rsid w:val="00C251F8"/>
    <w:rsid w:val="00C65CAF"/>
    <w:rsid w:val="00C67A8F"/>
    <w:rsid w:val="00C84C28"/>
    <w:rsid w:val="00CD5AE8"/>
    <w:rsid w:val="00CF5D5B"/>
    <w:rsid w:val="00D072FA"/>
    <w:rsid w:val="00D10DAB"/>
    <w:rsid w:val="00D47E8F"/>
    <w:rsid w:val="00D50F3F"/>
    <w:rsid w:val="00D55951"/>
    <w:rsid w:val="00D937EB"/>
    <w:rsid w:val="00DA48A9"/>
    <w:rsid w:val="00DB3C4D"/>
    <w:rsid w:val="00DC351D"/>
    <w:rsid w:val="00DF005A"/>
    <w:rsid w:val="00E04EA3"/>
    <w:rsid w:val="00E118DC"/>
    <w:rsid w:val="00E15BF1"/>
    <w:rsid w:val="00E250D7"/>
    <w:rsid w:val="00E85DDD"/>
    <w:rsid w:val="00EB5667"/>
    <w:rsid w:val="00EC7A71"/>
    <w:rsid w:val="00F34F45"/>
    <w:rsid w:val="00F3744A"/>
    <w:rsid w:val="00F53C48"/>
    <w:rsid w:val="00F934B2"/>
    <w:rsid w:val="00FD4A63"/>
    <w:rsid w:val="017D7567"/>
    <w:rsid w:val="01EE5DDE"/>
    <w:rsid w:val="02810D87"/>
    <w:rsid w:val="02C007D9"/>
    <w:rsid w:val="03DD256F"/>
    <w:rsid w:val="03EA43FF"/>
    <w:rsid w:val="04477AA3"/>
    <w:rsid w:val="046D4368"/>
    <w:rsid w:val="049A5E25"/>
    <w:rsid w:val="04F253F9"/>
    <w:rsid w:val="0514269A"/>
    <w:rsid w:val="05CB6A39"/>
    <w:rsid w:val="06202F55"/>
    <w:rsid w:val="06641F4F"/>
    <w:rsid w:val="06BD5DFB"/>
    <w:rsid w:val="06E93094"/>
    <w:rsid w:val="07456745"/>
    <w:rsid w:val="078E0137"/>
    <w:rsid w:val="07BD3408"/>
    <w:rsid w:val="07F55C66"/>
    <w:rsid w:val="08810A62"/>
    <w:rsid w:val="09526CCE"/>
    <w:rsid w:val="09657974"/>
    <w:rsid w:val="09907D5D"/>
    <w:rsid w:val="09C17C7E"/>
    <w:rsid w:val="0A9C7D1B"/>
    <w:rsid w:val="0B6E6F2E"/>
    <w:rsid w:val="0BC1288F"/>
    <w:rsid w:val="0C42414C"/>
    <w:rsid w:val="0C4F1790"/>
    <w:rsid w:val="0C607EB7"/>
    <w:rsid w:val="0C664657"/>
    <w:rsid w:val="0D6E60A1"/>
    <w:rsid w:val="0D780224"/>
    <w:rsid w:val="0DF108BC"/>
    <w:rsid w:val="0E222701"/>
    <w:rsid w:val="0E945864"/>
    <w:rsid w:val="0EC57F43"/>
    <w:rsid w:val="0ED61EC0"/>
    <w:rsid w:val="0EDF1DD1"/>
    <w:rsid w:val="0F462A38"/>
    <w:rsid w:val="0F5747C0"/>
    <w:rsid w:val="0FC81DF4"/>
    <w:rsid w:val="0FD06E2E"/>
    <w:rsid w:val="0FD3751C"/>
    <w:rsid w:val="100D35AF"/>
    <w:rsid w:val="1032785A"/>
    <w:rsid w:val="10BC5375"/>
    <w:rsid w:val="114B5F33"/>
    <w:rsid w:val="120957C1"/>
    <w:rsid w:val="12D40015"/>
    <w:rsid w:val="12F31522"/>
    <w:rsid w:val="13C702B9"/>
    <w:rsid w:val="13F51A75"/>
    <w:rsid w:val="14BC5944"/>
    <w:rsid w:val="14F766D0"/>
    <w:rsid w:val="15E74C42"/>
    <w:rsid w:val="176127D3"/>
    <w:rsid w:val="17EA484B"/>
    <w:rsid w:val="19526877"/>
    <w:rsid w:val="195756B5"/>
    <w:rsid w:val="195E16BF"/>
    <w:rsid w:val="19C857A0"/>
    <w:rsid w:val="1A78230D"/>
    <w:rsid w:val="1A8C7C0A"/>
    <w:rsid w:val="1AA21541"/>
    <w:rsid w:val="1ADC2F2F"/>
    <w:rsid w:val="1B487F31"/>
    <w:rsid w:val="1B7156DA"/>
    <w:rsid w:val="1BB2252C"/>
    <w:rsid w:val="1BF84678"/>
    <w:rsid w:val="1C0C583C"/>
    <w:rsid w:val="1C6D1467"/>
    <w:rsid w:val="1C850D11"/>
    <w:rsid w:val="1D75282A"/>
    <w:rsid w:val="1DD16C05"/>
    <w:rsid w:val="1E38498F"/>
    <w:rsid w:val="1E3D5D47"/>
    <w:rsid w:val="1E6A5E28"/>
    <w:rsid w:val="1E877922"/>
    <w:rsid w:val="1EAA20B1"/>
    <w:rsid w:val="1EDD6D0C"/>
    <w:rsid w:val="1EF8161D"/>
    <w:rsid w:val="20062169"/>
    <w:rsid w:val="20416BE0"/>
    <w:rsid w:val="208B376E"/>
    <w:rsid w:val="20DA5ACF"/>
    <w:rsid w:val="21225287"/>
    <w:rsid w:val="21CE0141"/>
    <w:rsid w:val="21E549B1"/>
    <w:rsid w:val="22022E9B"/>
    <w:rsid w:val="22456F79"/>
    <w:rsid w:val="22750198"/>
    <w:rsid w:val="237544B8"/>
    <w:rsid w:val="23BC14BC"/>
    <w:rsid w:val="23C46957"/>
    <w:rsid w:val="23DC56BB"/>
    <w:rsid w:val="240A34A1"/>
    <w:rsid w:val="24350712"/>
    <w:rsid w:val="244E0945"/>
    <w:rsid w:val="245C3FA4"/>
    <w:rsid w:val="25982361"/>
    <w:rsid w:val="25F9028E"/>
    <w:rsid w:val="261C4494"/>
    <w:rsid w:val="26FA5AB5"/>
    <w:rsid w:val="27805F0E"/>
    <w:rsid w:val="279F6CA6"/>
    <w:rsid w:val="27D61735"/>
    <w:rsid w:val="2A8C4F5A"/>
    <w:rsid w:val="2AD01CF1"/>
    <w:rsid w:val="2AEF3F25"/>
    <w:rsid w:val="2B2670A9"/>
    <w:rsid w:val="2BAE1E0F"/>
    <w:rsid w:val="2C360BA1"/>
    <w:rsid w:val="2C462709"/>
    <w:rsid w:val="2C5A7AC4"/>
    <w:rsid w:val="2CDF7FCA"/>
    <w:rsid w:val="2D88079B"/>
    <w:rsid w:val="2E2A79F1"/>
    <w:rsid w:val="2E5B1792"/>
    <w:rsid w:val="2E614626"/>
    <w:rsid w:val="2EF324D7"/>
    <w:rsid w:val="2FA51FF8"/>
    <w:rsid w:val="302C0287"/>
    <w:rsid w:val="3075353C"/>
    <w:rsid w:val="30BF55BB"/>
    <w:rsid w:val="30E31275"/>
    <w:rsid w:val="30F4086D"/>
    <w:rsid w:val="30F85AFE"/>
    <w:rsid w:val="315471D8"/>
    <w:rsid w:val="32453CEA"/>
    <w:rsid w:val="32A526A9"/>
    <w:rsid w:val="32F25DB3"/>
    <w:rsid w:val="33504359"/>
    <w:rsid w:val="340B70F0"/>
    <w:rsid w:val="347F2CD6"/>
    <w:rsid w:val="34BC2E77"/>
    <w:rsid w:val="358D79DF"/>
    <w:rsid w:val="35E514C7"/>
    <w:rsid w:val="362D006F"/>
    <w:rsid w:val="36E8603D"/>
    <w:rsid w:val="374C62C8"/>
    <w:rsid w:val="37BF5665"/>
    <w:rsid w:val="38663FF7"/>
    <w:rsid w:val="388B2A75"/>
    <w:rsid w:val="393F42CA"/>
    <w:rsid w:val="39617102"/>
    <w:rsid w:val="39DF785B"/>
    <w:rsid w:val="39F37C15"/>
    <w:rsid w:val="3A3B6D2D"/>
    <w:rsid w:val="3AC84793"/>
    <w:rsid w:val="3B0A3DA1"/>
    <w:rsid w:val="3B245E6D"/>
    <w:rsid w:val="3BBB598C"/>
    <w:rsid w:val="3D1B5078"/>
    <w:rsid w:val="3E8071E4"/>
    <w:rsid w:val="3F3B3785"/>
    <w:rsid w:val="3FAF1604"/>
    <w:rsid w:val="40155D85"/>
    <w:rsid w:val="4048214A"/>
    <w:rsid w:val="4075369B"/>
    <w:rsid w:val="40D5722F"/>
    <w:rsid w:val="410D2284"/>
    <w:rsid w:val="41105164"/>
    <w:rsid w:val="411F7EE8"/>
    <w:rsid w:val="414334DE"/>
    <w:rsid w:val="41BE0DD7"/>
    <w:rsid w:val="42174B0E"/>
    <w:rsid w:val="427C1D26"/>
    <w:rsid w:val="43AA2C88"/>
    <w:rsid w:val="43C81360"/>
    <w:rsid w:val="43EB3251"/>
    <w:rsid w:val="446A056C"/>
    <w:rsid w:val="44990322"/>
    <w:rsid w:val="452D2132"/>
    <w:rsid w:val="456033DF"/>
    <w:rsid w:val="46113492"/>
    <w:rsid w:val="466C691A"/>
    <w:rsid w:val="473F1D7C"/>
    <w:rsid w:val="47B265C4"/>
    <w:rsid w:val="47B57904"/>
    <w:rsid w:val="48730996"/>
    <w:rsid w:val="48D17504"/>
    <w:rsid w:val="48D83DF3"/>
    <w:rsid w:val="496D2C05"/>
    <w:rsid w:val="49B900C8"/>
    <w:rsid w:val="49BE0964"/>
    <w:rsid w:val="4A1E2A29"/>
    <w:rsid w:val="4A88019B"/>
    <w:rsid w:val="4AD00587"/>
    <w:rsid w:val="4ADC2FC7"/>
    <w:rsid w:val="4B1120BD"/>
    <w:rsid w:val="4B6422B6"/>
    <w:rsid w:val="4B8D7F59"/>
    <w:rsid w:val="4B8F7333"/>
    <w:rsid w:val="4C044B15"/>
    <w:rsid w:val="4C4756D1"/>
    <w:rsid w:val="4D9549A9"/>
    <w:rsid w:val="4DCE1968"/>
    <w:rsid w:val="4E2D698F"/>
    <w:rsid w:val="4EC7464B"/>
    <w:rsid w:val="4F73290C"/>
    <w:rsid w:val="506269CA"/>
    <w:rsid w:val="508F56DF"/>
    <w:rsid w:val="50E0273C"/>
    <w:rsid w:val="50F03D6F"/>
    <w:rsid w:val="51151866"/>
    <w:rsid w:val="52174DCF"/>
    <w:rsid w:val="52446D09"/>
    <w:rsid w:val="525E011B"/>
    <w:rsid w:val="5261632C"/>
    <w:rsid w:val="52CB6777"/>
    <w:rsid w:val="52CF6267"/>
    <w:rsid w:val="53210759"/>
    <w:rsid w:val="535D3E5B"/>
    <w:rsid w:val="53A161D4"/>
    <w:rsid w:val="54420564"/>
    <w:rsid w:val="54501629"/>
    <w:rsid w:val="54A61249"/>
    <w:rsid w:val="54A87B34"/>
    <w:rsid w:val="54AD6A7C"/>
    <w:rsid w:val="54F917E2"/>
    <w:rsid w:val="551B5E9C"/>
    <w:rsid w:val="55763696"/>
    <w:rsid w:val="55986E64"/>
    <w:rsid w:val="56E45C4B"/>
    <w:rsid w:val="57160F93"/>
    <w:rsid w:val="57AB49D1"/>
    <w:rsid w:val="57FA3D86"/>
    <w:rsid w:val="58022C3B"/>
    <w:rsid w:val="5818700C"/>
    <w:rsid w:val="58D662E9"/>
    <w:rsid w:val="591A39EC"/>
    <w:rsid w:val="59611AB6"/>
    <w:rsid w:val="596F6522"/>
    <w:rsid w:val="5994098E"/>
    <w:rsid w:val="5A8B67CF"/>
    <w:rsid w:val="5AB50438"/>
    <w:rsid w:val="5AC11CB2"/>
    <w:rsid w:val="5B4377F2"/>
    <w:rsid w:val="5BC00E43"/>
    <w:rsid w:val="5BD415B9"/>
    <w:rsid w:val="5C384E7D"/>
    <w:rsid w:val="5CAD2F2F"/>
    <w:rsid w:val="5D242E5C"/>
    <w:rsid w:val="5D7667E9"/>
    <w:rsid w:val="5D7D6D6E"/>
    <w:rsid w:val="5E124648"/>
    <w:rsid w:val="5E461BE8"/>
    <w:rsid w:val="5E802B0B"/>
    <w:rsid w:val="5EEA5B29"/>
    <w:rsid w:val="5FE307E1"/>
    <w:rsid w:val="60320823"/>
    <w:rsid w:val="60370C9F"/>
    <w:rsid w:val="60477D84"/>
    <w:rsid w:val="60561A1A"/>
    <w:rsid w:val="609D19A0"/>
    <w:rsid w:val="6149259A"/>
    <w:rsid w:val="61616C24"/>
    <w:rsid w:val="62CA0DEA"/>
    <w:rsid w:val="62CC4313"/>
    <w:rsid w:val="62D80E8F"/>
    <w:rsid w:val="631A4CD5"/>
    <w:rsid w:val="63424833"/>
    <w:rsid w:val="6360121A"/>
    <w:rsid w:val="63987EC3"/>
    <w:rsid w:val="63E21E82"/>
    <w:rsid w:val="65363F24"/>
    <w:rsid w:val="65F91B21"/>
    <w:rsid w:val="66054103"/>
    <w:rsid w:val="663E15C8"/>
    <w:rsid w:val="66767926"/>
    <w:rsid w:val="671E7365"/>
    <w:rsid w:val="68554B6D"/>
    <w:rsid w:val="686639B1"/>
    <w:rsid w:val="68955405"/>
    <w:rsid w:val="69BD10B7"/>
    <w:rsid w:val="69D52802"/>
    <w:rsid w:val="69FB69F7"/>
    <w:rsid w:val="6A6D5B60"/>
    <w:rsid w:val="6AD824D8"/>
    <w:rsid w:val="6AE27AF9"/>
    <w:rsid w:val="6AF14211"/>
    <w:rsid w:val="6B87372B"/>
    <w:rsid w:val="6BCB6C2E"/>
    <w:rsid w:val="6C691B29"/>
    <w:rsid w:val="6CB843E9"/>
    <w:rsid w:val="6CD61C8C"/>
    <w:rsid w:val="6D042B59"/>
    <w:rsid w:val="6DE54739"/>
    <w:rsid w:val="6E386F5E"/>
    <w:rsid w:val="6F2A02A5"/>
    <w:rsid w:val="6F382737"/>
    <w:rsid w:val="6F4477B6"/>
    <w:rsid w:val="6F671833"/>
    <w:rsid w:val="6FC54822"/>
    <w:rsid w:val="6FDF3411"/>
    <w:rsid w:val="6FE63CCB"/>
    <w:rsid w:val="7016507D"/>
    <w:rsid w:val="70433998"/>
    <w:rsid w:val="708E13B0"/>
    <w:rsid w:val="70932B20"/>
    <w:rsid w:val="7104581E"/>
    <w:rsid w:val="71257C6E"/>
    <w:rsid w:val="713879FC"/>
    <w:rsid w:val="715C2B37"/>
    <w:rsid w:val="7169441D"/>
    <w:rsid w:val="719467C3"/>
    <w:rsid w:val="71E2790D"/>
    <w:rsid w:val="728C4044"/>
    <w:rsid w:val="72A7624D"/>
    <w:rsid w:val="73093CE5"/>
    <w:rsid w:val="730D5951"/>
    <w:rsid w:val="732426AE"/>
    <w:rsid w:val="73B7698C"/>
    <w:rsid w:val="73CA376B"/>
    <w:rsid w:val="73E27DCB"/>
    <w:rsid w:val="742A28A5"/>
    <w:rsid w:val="74982505"/>
    <w:rsid w:val="74A425B0"/>
    <w:rsid w:val="75994A53"/>
    <w:rsid w:val="760F2C9B"/>
    <w:rsid w:val="765E4A8E"/>
    <w:rsid w:val="76782759"/>
    <w:rsid w:val="77163BB5"/>
    <w:rsid w:val="77521D65"/>
    <w:rsid w:val="77C84947"/>
    <w:rsid w:val="780A1873"/>
    <w:rsid w:val="782C422A"/>
    <w:rsid w:val="78446BF0"/>
    <w:rsid w:val="788517C6"/>
    <w:rsid w:val="789549EE"/>
    <w:rsid w:val="789D6562"/>
    <w:rsid w:val="78F817C4"/>
    <w:rsid w:val="79D7762B"/>
    <w:rsid w:val="7A911ED0"/>
    <w:rsid w:val="7ABD56E4"/>
    <w:rsid w:val="7AE1082E"/>
    <w:rsid w:val="7B001352"/>
    <w:rsid w:val="7B9A5BD4"/>
    <w:rsid w:val="7C1A7CA3"/>
    <w:rsid w:val="7CEC65E1"/>
    <w:rsid w:val="7E5726F4"/>
    <w:rsid w:val="7EB905B6"/>
    <w:rsid w:val="7EE751EE"/>
    <w:rsid w:val="7F2D5F40"/>
    <w:rsid w:val="7F2F6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autoRedefine/>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35"/>
    <w:autoRedefine/>
    <w:qFormat/>
    <w:uiPriority w:val="0"/>
    <w:pPr>
      <w:keepNext/>
      <w:keepLines/>
      <w:spacing w:before="120" w:after="120"/>
      <w:outlineLvl w:val="1"/>
    </w:pPr>
    <w:rPr>
      <w:rFonts w:ascii="Arial" w:hAnsi="Arial" w:eastAsia="仿宋"/>
      <w:b/>
      <w:bCs/>
      <w:sz w:val="28"/>
      <w:szCs w:val="32"/>
    </w:rPr>
  </w:style>
  <w:style w:type="paragraph" w:styleId="4">
    <w:name w:val="heading 3"/>
    <w:basedOn w:val="1"/>
    <w:next w:val="1"/>
    <w:link w:val="36"/>
    <w:autoRedefine/>
    <w:qFormat/>
    <w:uiPriority w:val="0"/>
    <w:pPr>
      <w:keepNext/>
      <w:keepLines/>
      <w:spacing w:before="120" w:after="120"/>
      <w:outlineLvl w:val="2"/>
    </w:pPr>
    <w:rPr>
      <w:rFonts w:eastAsia="仿宋"/>
      <w:b/>
      <w:sz w:val="30"/>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99"/>
    <w:pPr>
      <w:ind w:left="420" w:leftChars="200"/>
    </w:pPr>
  </w:style>
  <w:style w:type="paragraph" w:styleId="6">
    <w:name w:val="Normal Indent"/>
    <w:basedOn w:val="1"/>
    <w:next w:val="1"/>
    <w:autoRedefine/>
    <w:qFormat/>
    <w:uiPriority w:val="0"/>
    <w:pPr>
      <w:ind w:firstLine="420" w:firstLineChars="200"/>
    </w:pPr>
  </w:style>
  <w:style w:type="paragraph" w:styleId="7">
    <w:name w:val="toa heading"/>
    <w:basedOn w:val="1"/>
    <w:next w:val="1"/>
    <w:autoRedefine/>
    <w:qFormat/>
    <w:uiPriority w:val="0"/>
    <w:pPr>
      <w:spacing w:before="120"/>
    </w:pPr>
    <w:rPr>
      <w:rFonts w:ascii="Arial" w:hAnsi="Arial"/>
      <w:sz w:val="24"/>
    </w:rPr>
  </w:style>
  <w:style w:type="paragraph" w:styleId="8">
    <w:name w:val="annotation text"/>
    <w:basedOn w:val="1"/>
    <w:link w:val="38"/>
    <w:autoRedefine/>
    <w:qFormat/>
    <w:uiPriority w:val="0"/>
    <w:pPr>
      <w:jc w:val="left"/>
    </w:pPr>
  </w:style>
  <w:style w:type="paragraph" w:styleId="9">
    <w:name w:val="Body Text"/>
    <w:basedOn w:val="1"/>
    <w:link w:val="37"/>
    <w:autoRedefine/>
    <w:qFormat/>
    <w:uiPriority w:val="0"/>
    <w:pPr>
      <w:spacing w:after="120"/>
    </w:pPr>
  </w:style>
  <w:style w:type="paragraph" w:styleId="10">
    <w:name w:val="Body Text Indent"/>
    <w:basedOn w:val="1"/>
    <w:autoRedefine/>
    <w:qFormat/>
    <w:uiPriority w:val="0"/>
    <w:pPr>
      <w:ind w:firstLine="630"/>
    </w:pPr>
    <w:rPr>
      <w:rFonts w:ascii="Times New Roman"/>
      <w:sz w:val="32"/>
    </w:rPr>
  </w:style>
  <w:style w:type="paragraph" w:styleId="11">
    <w:name w:val="Plain Text"/>
    <w:basedOn w:val="1"/>
    <w:autoRedefine/>
    <w:qFormat/>
    <w:uiPriority w:val="0"/>
    <w:rPr>
      <w:rFonts w:hAnsi="Courier New"/>
    </w:rPr>
  </w:style>
  <w:style w:type="paragraph" w:styleId="12">
    <w:name w:val="Date"/>
    <w:basedOn w:val="1"/>
    <w:next w:val="1"/>
    <w:link w:val="52"/>
    <w:autoRedefine/>
    <w:semiHidden/>
    <w:unhideWhenUsed/>
    <w:qFormat/>
    <w:uiPriority w:val="99"/>
    <w:pPr>
      <w:ind w:left="100" w:leftChars="2500"/>
    </w:pPr>
  </w:style>
  <w:style w:type="paragraph" w:styleId="13">
    <w:name w:val="Body Text Indent 2"/>
    <w:basedOn w:val="1"/>
    <w:link w:val="39"/>
    <w:autoRedefine/>
    <w:qFormat/>
    <w:uiPriority w:val="0"/>
    <w:pPr>
      <w:ind w:firstLine="630"/>
    </w:pPr>
    <w:rPr>
      <w:sz w:val="32"/>
    </w:rPr>
  </w:style>
  <w:style w:type="paragraph" w:styleId="14">
    <w:name w:val="Balloon Text"/>
    <w:basedOn w:val="1"/>
    <w:link w:val="55"/>
    <w:autoRedefine/>
    <w:semiHidden/>
    <w:unhideWhenUsed/>
    <w:qFormat/>
    <w:uiPriority w:val="99"/>
    <w:rPr>
      <w:sz w:val="18"/>
      <w:szCs w:val="18"/>
    </w:rPr>
  </w:style>
  <w:style w:type="paragraph" w:styleId="15">
    <w:name w:val="footer"/>
    <w:basedOn w:val="1"/>
    <w:link w:val="33"/>
    <w:autoRedefine/>
    <w:unhideWhenUsed/>
    <w:qFormat/>
    <w:uiPriority w:val="0"/>
    <w:pPr>
      <w:tabs>
        <w:tab w:val="center" w:pos="4153"/>
        <w:tab w:val="right" w:pos="8306"/>
      </w:tabs>
      <w:snapToGrid w:val="0"/>
      <w:jc w:val="left"/>
    </w:pPr>
    <w:rPr>
      <w:sz w:val="18"/>
      <w:szCs w:val="18"/>
    </w:rPr>
  </w:style>
  <w:style w:type="paragraph" w:styleId="16">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style>
  <w:style w:type="paragraph" w:styleId="18">
    <w:name w:val="Subtitle"/>
    <w:basedOn w:val="1"/>
    <w:next w:val="1"/>
    <w:link w:val="40"/>
    <w:autoRedefine/>
    <w:qFormat/>
    <w:uiPriority w:val="0"/>
    <w:rPr>
      <w:sz w:val="28"/>
    </w:rPr>
  </w:style>
  <w:style w:type="paragraph" w:styleId="19">
    <w:name w:val="footnote text"/>
    <w:basedOn w:val="1"/>
    <w:qFormat/>
    <w:uiPriority w:val="0"/>
    <w:pPr>
      <w:snapToGrid w:val="0"/>
      <w:jc w:val="left"/>
    </w:pPr>
    <w:rPr>
      <w:rFonts w:eastAsia="宋体"/>
      <w:sz w:val="18"/>
    </w:rPr>
  </w:style>
  <w:style w:type="paragraph" w:styleId="20">
    <w:name w:val="annotation subject"/>
    <w:basedOn w:val="8"/>
    <w:next w:val="8"/>
    <w:link w:val="53"/>
    <w:autoRedefine/>
    <w:semiHidden/>
    <w:unhideWhenUsed/>
    <w:qFormat/>
    <w:uiPriority w:val="99"/>
    <w:rPr>
      <w:b/>
      <w:bCs/>
    </w:rPr>
  </w:style>
  <w:style w:type="paragraph" w:styleId="21">
    <w:name w:val="Body Text First Indent"/>
    <w:basedOn w:val="9"/>
    <w:link w:val="41"/>
    <w:autoRedefine/>
    <w:qFormat/>
    <w:uiPriority w:val="0"/>
    <w:pPr>
      <w:spacing w:line="360" w:lineRule="auto"/>
      <w:ind w:firstLine="420"/>
    </w:pPr>
    <w:rPr>
      <w:rFonts w:ascii="宋体" w:hAnsi="宋体"/>
      <w:sz w:val="24"/>
    </w:rPr>
  </w:style>
  <w:style w:type="paragraph" w:styleId="22">
    <w:name w:val="Body Text First Indent 2"/>
    <w:basedOn w:val="10"/>
    <w:next w:val="1"/>
    <w:autoRedefine/>
    <w:unhideWhenUsed/>
    <w:qFormat/>
    <w:uiPriority w:val="99"/>
    <w:pPr>
      <w:ind w:firstLine="420" w:firstLineChars="200"/>
    </w:p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annotation reference"/>
    <w:basedOn w:val="25"/>
    <w:autoRedefine/>
    <w:semiHidden/>
    <w:unhideWhenUsed/>
    <w:qFormat/>
    <w:uiPriority w:val="99"/>
    <w:rPr>
      <w:sz w:val="21"/>
      <w:szCs w:val="21"/>
    </w:rPr>
  </w:style>
  <w:style w:type="character" w:styleId="28">
    <w:name w:val="footnote reference"/>
    <w:autoRedefine/>
    <w:qFormat/>
    <w:uiPriority w:val="0"/>
    <w:rPr>
      <w:rFonts w:eastAsia="宋体"/>
      <w:kern w:val="2"/>
      <w:sz w:val="21"/>
      <w:vertAlign w:val="superscript"/>
      <w:lang w:val="en-US" w:eastAsia="zh-CN"/>
    </w:rPr>
  </w:style>
  <w:style w:type="paragraph" w:customStyle="1" w:styleId="29">
    <w:name w:val="标题 5（有编号）（绿盟科技）"/>
    <w:basedOn w:val="30"/>
    <w:next w:val="31"/>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2">
    <w:name w:val="页眉 字符"/>
    <w:basedOn w:val="25"/>
    <w:link w:val="16"/>
    <w:autoRedefine/>
    <w:qFormat/>
    <w:uiPriority w:val="99"/>
    <w:rPr>
      <w:sz w:val="18"/>
      <w:szCs w:val="18"/>
    </w:rPr>
  </w:style>
  <w:style w:type="character" w:customStyle="1" w:styleId="33">
    <w:name w:val="页脚 字符"/>
    <w:basedOn w:val="25"/>
    <w:link w:val="15"/>
    <w:autoRedefine/>
    <w:qFormat/>
    <w:uiPriority w:val="99"/>
    <w:rPr>
      <w:sz w:val="18"/>
      <w:szCs w:val="18"/>
    </w:rPr>
  </w:style>
  <w:style w:type="character" w:customStyle="1" w:styleId="34">
    <w:name w:val="标题 1 字符"/>
    <w:basedOn w:val="25"/>
    <w:link w:val="2"/>
    <w:autoRedefine/>
    <w:qFormat/>
    <w:uiPriority w:val="99"/>
    <w:rPr>
      <w:b/>
      <w:bCs/>
      <w:kern w:val="44"/>
      <w:sz w:val="44"/>
      <w:szCs w:val="44"/>
    </w:rPr>
  </w:style>
  <w:style w:type="character" w:customStyle="1" w:styleId="35">
    <w:name w:val="标题 2 字符"/>
    <w:basedOn w:val="25"/>
    <w:link w:val="3"/>
    <w:autoRedefine/>
    <w:qFormat/>
    <w:uiPriority w:val="0"/>
    <w:rPr>
      <w:rFonts w:ascii="Arial" w:hAnsi="Arial" w:eastAsia="仿宋"/>
      <w:b/>
      <w:bCs/>
      <w:sz w:val="28"/>
      <w:szCs w:val="32"/>
    </w:rPr>
  </w:style>
  <w:style w:type="character" w:customStyle="1" w:styleId="36">
    <w:name w:val="标题 3 字符"/>
    <w:basedOn w:val="25"/>
    <w:link w:val="4"/>
    <w:autoRedefine/>
    <w:qFormat/>
    <w:uiPriority w:val="0"/>
    <w:rPr>
      <w:rFonts w:eastAsia="仿宋"/>
      <w:b/>
      <w:sz w:val="30"/>
    </w:rPr>
  </w:style>
  <w:style w:type="character" w:customStyle="1" w:styleId="37">
    <w:name w:val="正文文本 字符"/>
    <w:basedOn w:val="25"/>
    <w:link w:val="9"/>
    <w:autoRedefine/>
    <w:qFormat/>
    <w:uiPriority w:val="0"/>
  </w:style>
  <w:style w:type="character" w:customStyle="1" w:styleId="38">
    <w:name w:val="批注文字 字符"/>
    <w:basedOn w:val="25"/>
    <w:link w:val="8"/>
    <w:autoRedefine/>
    <w:qFormat/>
    <w:uiPriority w:val="0"/>
  </w:style>
  <w:style w:type="character" w:customStyle="1" w:styleId="39">
    <w:name w:val="正文文本缩进 2 字符"/>
    <w:basedOn w:val="25"/>
    <w:link w:val="13"/>
    <w:autoRedefine/>
    <w:qFormat/>
    <w:uiPriority w:val="0"/>
    <w:rPr>
      <w:sz w:val="32"/>
    </w:rPr>
  </w:style>
  <w:style w:type="character" w:customStyle="1" w:styleId="40">
    <w:name w:val="副标题 字符"/>
    <w:basedOn w:val="25"/>
    <w:link w:val="18"/>
    <w:autoRedefine/>
    <w:qFormat/>
    <w:uiPriority w:val="0"/>
    <w:rPr>
      <w:sz w:val="28"/>
    </w:rPr>
  </w:style>
  <w:style w:type="character" w:customStyle="1" w:styleId="41">
    <w:name w:val="正文首行缩进 字符"/>
    <w:basedOn w:val="37"/>
    <w:link w:val="21"/>
    <w:autoRedefine/>
    <w:qFormat/>
    <w:uiPriority w:val="0"/>
    <w:rPr>
      <w:rFonts w:ascii="宋体" w:hAnsi="宋体"/>
      <w:sz w:val="24"/>
    </w:rPr>
  </w:style>
  <w:style w:type="paragraph" w:customStyle="1" w:styleId="42">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表格"/>
    <w:basedOn w:val="1"/>
    <w:autoRedefine/>
    <w:qFormat/>
    <w:uiPriority w:val="0"/>
    <w:pPr>
      <w:spacing w:line="400" w:lineRule="exact"/>
    </w:pPr>
    <w:rPr>
      <w:sz w:val="24"/>
      <w:szCs w:val="24"/>
    </w:rPr>
  </w:style>
  <w:style w:type="paragraph" w:customStyle="1" w:styleId="45">
    <w:name w:val="样式 首行缩进:  2 字符"/>
    <w:basedOn w:val="1"/>
    <w:autoRedefine/>
    <w:qFormat/>
    <w:uiPriority w:val="0"/>
    <w:pPr>
      <w:spacing w:line="400" w:lineRule="exact"/>
      <w:ind w:firstLine="200" w:firstLineChars="200"/>
    </w:pPr>
    <w:rPr>
      <w:rFonts w:cs="宋体"/>
      <w:sz w:val="24"/>
    </w:rPr>
  </w:style>
  <w:style w:type="paragraph" w:customStyle="1" w:styleId="46">
    <w:name w:val="列出段落1"/>
    <w:basedOn w:val="1"/>
    <w:autoRedefine/>
    <w:qFormat/>
    <w:uiPriority w:val="0"/>
    <w:pPr>
      <w:ind w:firstLine="420" w:firstLineChars="200"/>
    </w:pPr>
    <w:rPr>
      <w:szCs w:val="24"/>
    </w:rPr>
  </w:style>
  <w:style w:type="paragraph" w:customStyle="1" w:styleId="47">
    <w:name w:val="WPSOffice手动目录 1"/>
    <w:autoRedefine/>
    <w:qFormat/>
    <w:uiPriority w:val="0"/>
    <w:rPr>
      <w:rFonts w:ascii="Times New Roman" w:hAnsi="Times New Roman" w:eastAsia="宋体" w:cs="Times New Roman"/>
      <w:lang w:val="en-US" w:eastAsia="zh-CN" w:bidi="ar-SA"/>
    </w:rPr>
  </w:style>
  <w:style w:type="paragraph" w:customStyle="1" w:styleId="48">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9">
    <w:name w:val="font31"/>
    <w:autoRedefine/>
    <w:qFormat/>
    <w:uiPriority w:val="0"/>
    <w:rPr>
      <w:rFonts w:hint="eastAsia" w:ascii="宋体" w:hAnsi="宋体" w:eastAsia="宋体" w:cs="宋体"/>
      <w:b/>
      <w:color w:val="000000"/>
      <w:sz w:val="22"/>
      <w:szCs w:val="22"/>
      <w:u w:val="none"/>
    </w:rPr>
  </w:style>
  <w:style w:type="character" w:customStyle="1" w:styleId="50">
    <w:name w:val="font21"/>
    <w:autoRedefine/>
    <w:qFormat/>
    <w:uiPriority w:val="0"/>
    <w:rPr>
      <w:rFonts w:hint="eastAsia" w:ascii="宋体" w:hAnsi="宋体" w:eastAsia="宋体" w:cs="宋体"/>
      <w:color w:val="000000"/>
      <w:sz w:val="20"/>
      <w:szCs w:val="20"/>
      <w:u w:val="none"/>
    </w:rPr>
  </w:style>
  <w:style w:type="character" w:customStyle="1" w:styleId="51">
    <w:name w:val="font81"/>
    <w:basedOn w:val="25"/>
    <w:autoRedefine/>
    <w:qFormat/>
    <w:uiPriority w:val="0"/>
    <w:rPr>
      <w:rFonts w:hint="eastAsia" w:ascii="宋体" w:hAnsi="宋体" w:eastAsia="宋体" w:cs="宋体"/>
      <w:b/>
      <w:color w:val="000000"/>
      <w:sz w:val="22"/>
      <w:szCs w:val="22"/>
      <w:u w:val="none"/>
    </w:rPr>
  </w:style>
  <w:style w:type="character" w:customStyle="1" w:styleId="52">
    <w:name w:val="日期 字符"/>
    <w:basedOn w:val="25"/>
    <w:link w:val="12"/>
    <w:autoRedefine/>
    <w:semiHidden/>
    <w:qFormat/>
    <w:uiPriority w:val="99"/>
    <w:rPr>
      <w:kern w:val="2"/>
      <w:sz w:val="21"/>
      <w:szCs w:val="22"/>
    </w:rPr>
  </w:style>
  <w:style w:type="character" w:customStyle="1" w:styleId="53">
    <w:name w:val="批注主题 字符"/>
    <w:basedOn w:val="38"/>
    <w:link w:val="20"/>
    <w:autoRedefine/>
    <w:semiHidden/>
    <w:qFormat/>
    <w:uiPriority w:val="99"/>
    <w:rPr>
      <w:b/>
      <w:bCs/>
      <w:kern w:val="2"/>
      <w:sz w:val="21"/>
      <w:szCs w:val="22"/>
    </w:rPr>
  </w:style>
  <w:style w:type="paragraph" w:customStyle="1" w:styleId="54">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5">
    <w:name w:val="批注框文本 字符"/>
    <w:basedOn w:val="25"/>
    <w:link w:val="14"/>
    <w:autoRedefine/>
    <w:semiHidden/>
    <w:qFormat/>
    <w:uiPriority w:val="99"/>
    <w:rPr>
      <w:kern w:val="2"/>
      <w:sz w:val="18"/>
      <w:szCs w:val="18"/>
    </w:rPr>
  </w:style>
  <w:style w:type="character" w:customStyle="1" w:styleId="56">
    <w:name w:val="font11"/>
    <w:basedOn w:val="25"/>
    <w:autoRedefine/>
    <w:qFormat/>
    <w:uiPriority w:val="0"/>
    <w:rPr>
      <w:rFonts w:hint="eastAsia" w:ascii="宋体" w:hAnsi="宋体" w:eastAsia="宋体" w:cs="宋体"/>
      <w:color w:val="000000"/>
      <w:sz w:val="21"/>
      <w:szCs w:val="21"/>
      <w:u w:val="none"/>
    </w:rPr>
  </w:style>
  <w:style w:type="paragraph" w:styleId="57">
    <w:name w:val="No Spacing"/>
    <w:basedOn w:val="1"/>
    <w:next w:val="1"/>
    <w:autoRedefine/>
    <w:unhideWhenUsed/>
    <w:qFormat/>
    <w:uiPriority w:val="0"/>
    <w:rPr>
      <w:rFonts w:ascii="Calibri" w:hAnsi="Calibri"/>
    </w:rPr>
  </w:style>
  <w:style w:type="paragraph" w:customStyle="1" w:styleId="58">
    <w:name w:val="正文首行缩进两字符"/>
    <w:basedOn w:val="1"/>
    <w:autoRedefine/>
    <w:qFormat/>
    <w:uiPriority w:val="0"/>
    <w:pPr>
      <w:spacing w:line="360" w:lineRule="auto"/>
      <w:ind w:firstLine="200" w:firstLineChars="200"/>
    </w:pPr>
    <w:rPr>
      <w:rFonts w:ascii="Times New Roman"/>
    </w:rPr>
  </w:style>
  <w:style w:type="paragraph" w:styleId="59">
    <w:name w:val="List Paragraph"/>
    <w:basedOn w:val="1"/>
    <w:autoRedefine/>
    <w:unhideWhenUsed/>
    <w:qFormat/>
    <w:uiPriority w:val="99"/>
    <w:pPr>
      <w:ind w:firstLine="420" w:firstLineChars="200"/>
    </w:pPr>
  </w:style>
  <w:style w:type="paragraph" w:customStyle="1" w:styleId="60">
    <w:name w:val="正文2"/>
    <w:basedOn w:val="10"/>
    <w:autoRedefine/>
    <w:qFormat/>
    <w:uiPriority w:val="0"/>
    <w:pPr>
      <w:spacing w:line="480" w:lineRule="exact"/>
      <w:ind w:firstLine="480" w:firstLineChars="200"/>
    </w:pPr>
    <w:rPr>
      <w:rFonts w:hAnsi="宋体" w:eastAsia="宋体"/>
      <w:bCs/>
      <w:sz w:val="24"/>
      <w:lang w:val="zh-CN"/>
    </w:rPr>
  </w:style>
  <w:style w:type="paragraph" w:customStyle="1" w:styleId="61">
    <w:name w:val="reader-word-layer"/>
    <w:basedOn w:val="1"/>
    <w:autoRedefine/>
    <w:qFormat/>
    <w:uiPriority w:val="99"/>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C305F8-8BF9-41DE-B508-B392D0DF8401}">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40</Pages>
  <Words>17733</Words>
  <Characters>18455</Characters>
  <Lines>123</Lines>
  <Paragraphs>34</Paragraphs>
  <TotalTime>9</TotalTime>
  <ScaleCrop>false</ScaleCrop>
  <LinksUpToDate>false</LinksUpToDate>
  <CharactersWithSpaces>18828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2024-01-29T03:05:00Z</dcterms:created>
  <dc:creator>wang mingfu</dc:creator>
  <cp:lastModifiedBy>Administrator</cp:lastModifiedBy>
  <cp:lastPrinted>2024-09-29T03:11:00Z</cp:lastPrinted>
  <dcterms:modified xsi:type="dcterms:W3CDTF">2024-10-18T06:14:01Z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E518DD87EBA44A3FB3189967CD75AD42_13</vt:lpwstr>
  </property>
</Properties>
</file>